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723" w:rsidRPr="00B31465" w:rsidRDefault="009E7244">
      <w:pPr>
        <w:rPr>
          <w:rFonts w:asciiTheme="minorHAnsi" w:hAnsiTheme="minorHAnsi" w:cstheme="minorHAnsi"/>
          <w:b/>
          <w:color w:val="7F7F7F"/>
          <w:sz w:val="32"/>
          <w:szCs w:val="32"/>
        </w:rPr>
      </w:pPr>
      <w:r>
        <w:rPr>
          <w:rFonts w:asciiTheme="minorHAnsi" w:hAnsiTheme="minorHAnsi" w:cstheme="minorHAnsi"/>
          <w:b/>
          <w:color w:val="7F7F7F"/>
          <w:sz w:val="32"/>
          <w:szCs w:val="32"/>
        </w:rPr>
        <w:t>ODBORNÁ INFORMACE</w:t>
      </w:r>
    </w:p>
    <w:p w:rsidR="00DA74AA" w:rsidRPr="00B31465" w:rsidRDefault="00170BBA" w:rsidP="00DA74AA">
      <w:pPr>
        <w:pBdr>
          <w:bottom w:val="single" w:sz="4" w:space="1" w:color="auto"/>
        </w:pBdr>
        <w:rPr>
          <w:rFonts w:asciiTheme="minorHAnsi" w:hAnsiTheme="minorHAnsi" w:cstheme="minorHAnsi"/>
          <w:b/>
          <w:color w:val="808080" w:themeColor="background1" w:themeShade="80"/>
          <w:sz w:val="32"/>
          <w:szCs w:val="32"/>
        </w:rPr>
      </w:pPr>
      <w:r>
        <w:rPr>
          <w:rFonts w:asciiTheme="minorHAnsi" w:hAnsiTheme="minorHAnsi" w:cstheme="minorHAnsi"/>
          <w:b/>
          <w:color w:val="808080" w:themeColor="background1" w:themeShade="80"/>
          <w:sz w:val="32"/>
          <w:szCs w:val="32"/>
        </w:rPr>
        <w:t xml:space="preserve">Návrh Metropolitního </w:t>
      </w:r>
      <w:r w:rsidRPr="00170BBA">
        <w:rPr>
          <w:rFonts w:asciiTheme="minorHAnsi" w:hAnsiTheme="minorHAnsi" w:cstheme="minorHAnsi"/>
          <w:b/>
          <w:color w:val="808080" w:themeColor="background1" w:themeShade="80"/>
          <w:sz w:val="32"/>
          <w:szCs w:val="32"/>
        </w:rPr>
        <w:t>plán</w:t>
      </w:r>
      <w:r>
        <w:rPr>
          <w:rFonts w:asciiTheme="minorHAnsi" w:hAnsiTheme="minorHAnsi" w:cstheme="minorHAnsi"/>
          <w:b/>
          <w:color w:val="808080" w:themeColor="background1" w:themeShade="80"/>
          <w:sz w:val="32"/>
          <w:szCs w:val="32"/>
        </w:rPr>
        <w:t>u</w:t>
      </w:r>
      <w:r w:rsidRPr="00170BBA">
        <w:rPr>
          <w:rFonts w:asciiTheme="minorHAnsi" w:hAnsiTheme="minorHAnsi" w:cstheme="minorHAnsi"/>
          <w:b/>
          <w:color w:val="808080" w:themeColor="background1" w:themeShade="80"/>
          <w:sz w:val="32"/>
          <w:szCs w:val="32"/>
        </w:rPr>
        <w:t xml:space="preserve"> h</w:t>
      </w:r>
      <w:r>
        <w:rPr>
          <w:rFonts w:asciiTheme="minorHAnsi" w:hAnsiTheme="minorHAnsi" w:cstheme="minorHAnsi"/>
          <w:b/>
          <w:color w:val="808080" w:themeColor="background1" w:themeShade="80"/>
          <w:sz w:val="32"/>
          <w:szCs w:val="32"/>
        </w:rPr>
        <w:t>l</w:t>
      </w:r>
      <w:r w:rsidRPr="00170BBA">
        <w:rPr>
          <w:rFonts w:asciiTheme="minorHAnsi" w:hAnsiTheme="minorHAnsi" w:cstheme="minorHAnsi"/>
          <w:b/>
          <w:color w:val="808080" w:themeColor="background1" w:themeShade="80"/>
          <w:sz w:val="32"/>
          <w:szCs w:val="32"/>
        </w:rPr>
        <w:t>. m. Prahy vykazuje vážné nedostatky</w:t>
      </w:r>
    </w:p>
    <w:p w:rsidR="00F97723" w:rsidRPr="00B31465" w:rsidRDefault="00F97723">
      <w:pPr>
        <w:pBdr>
          <w:bottom w:val="single" w:sz="4" w:space="1" w:color="auto"/>
        </w:pBdr>
        <w:rPr>
          <w:rFonts w:asciiTheme="minorHAnsi" w:hAnsiTheme="minorHAnsi" w:cstheme="minorHAnsi"/>
          <w:b/>
        </w:rPr>
      </w:pPr>
    </w:p>
    <w:p w:rsidR="00F97723" w:rsidRPr="00B31465" w:rsidRDefault="00457749">
      <w:pPr>
        <w:pBdr>
          <w:bottom w:val="single" w:sz="4" w:space="1" w:color="auto"/>
        </w:pBdr>
        <w:rPr>
          <w:rFonts w:asciiTheme="minorHAnsi" w:hAnsiTheme="minorHAnsi" w:cstheme="minorHAnsi"/>
          <w:b/>
        </w:rPr>
      </w:pPr>
      <w:r>
        <w:rPr>
          <w:rFonts w:asciiTheme="minorHAnsi" w:hAnsiTheme="minorHAnsi" w:cstheme="minorHAnsi"/>
          <w:b/>
        </w:rPr>
        <w:t>Praha</w:t>
      </w:r>
      <w:r w:rsidR="00251ED9" w:rsidRPr="00B31465">
        <w:rPr>
          <w:rFonts w:asciiTheme="minorHAnsi" w:hAnsiTheme="minorHAnsi" w:cstheme="minorHAnsi"/>
          <w:b/>
        </w:rPr>
        <w:t xml:space="preserve"> </w:t>
      </w:r>
      <w:r w:rsidR="00170BBA">
        <w:rPr>
          <w:rFonts w:asciiTheme="minorHAnsi" w:hAnsiTheme="minorHAnsi" w:cstheme="minorHAnsi"/>
          <w:b/>
        </w:rPr>
        <w:t>29</w:t>
      </w:r>
      <w:r w:rsidR="00B600D6" w:rsidRPr="00B31465">
        <w:rPr>
          <w:rFonts w:asciiTheme="minorHAnsi" w:hAnsiTheme="minorHAnsi" w:cstheme="minorHAnsi"/>
          <w:b/>
        </w:rPr>
        <w:t>.</w:t>
      </w:r>
      <w:r w:rsidR="00251ED9" w:rsidRPr="00B31465">
        <w:rPr>
          <w:rFonts w:asciiTheme="minorHAnsi" w:hAnsiTheme="minorHAnsi" w:cstheme="minorHAnsi"/>
          <w:b/>
        </w:rPr>
        <w:t xml:space="preserve"> </w:t>
      </w:r>
      <w:r w:rsidR="00462367">
        <w:rPr>
          <w:rFonts w:asciiTheme="minorHAnsi" w:hAnsiTheme="minorHAnsi" w:cstheme="minorHAnsi"/>
          <w:b/>
        </w:rPr>
        <w:t>června 2018</w:t>
      </w:r>
    </w:p>
    <w:p w:rsidR="00834788" w:rsidRDefault="00170BBA" w:rsidP="003C0312">
      <w:pPr>
        <w:jc w:val="both"/>
        <w:rPr>
          <w:rFonts w:asciiTheme="minorHAnsi" w:hAnsiTheme="minorHAnsi"/>
          <w:sz w:val="26"/>
          <w:szCs w:val="26"/>
        </w:rPr>
      </w:pPr>
      <w:r>
        <w:rPr>
          <w:rFonts w:asciiTheme="minorHAnsi" w:hAnsiTheme="minorHAnsi"/>
          <w:sz w:val="26"/>
          <w:szCs w:val="26"/>
        </w:rPr>
        <w:t>Národní památkový ústav</w:t>
      </w:r>
      <w:r w:rsidRPr="00170BBA">
        <w:rPr>
          <w:rFonts w:asciiTheme="minorHAnsi" w:hAnsiTheme="minorHAnsi"/>
          <w:sz w:val="26"/>
          <w:szCs w:val="26"/>
        </w:rPr>
        <w:t xml:space="preserve"> </w:t>
      </w:r>
      <w:r w:rsidR="00834788">
        <w:rPr>
          <w:rFonts w:asciiTheme="minorHAnsi" w:hAnsiTheme="minorHAnsi"/>
          <w:sz w:val="26"/>
          <w:szCs w:val="26"/>
        </w:rPr>
        <w:t>vydává</w:t>
      </w:r>
      <w:r w:rsidR="008B40FE">
        <w:rPr>
          <w:rFonts w:asciiTheme="minorHAnsi" w:hAnsiTheme="minorHAnsi"/>
          <w:sz w:val="26"/>
          <w:szCs w:val="26"/>
        </w:rPr>
        <w:t xml:space="preserve"> </w:t>
      </w:r>
      <w:r w:rsidR="00582C09">
        <w:rPr>
          <w:rFonts w:asciiTheme="minorHAnsi" w:hAnsiTheme="minorHAnsi"/>
          <w:sz w:val="26"/>
          <w:szCs w:val="26"/>
        </w:rPr>
        <w:t>(</w:t>
      </w:r>
      <w:r w:rsidR="00834788">
        <w:rPr>
          <w:rFonts w:asciiTheme="minorHAnsi" w:hAnsiTheme="minorHAnsi"/>
          <w:sz w:val="26"/>
          <w:szCs w:val="26"/>
        </w:rPr>
        <w:t>v souladu s §32 zákona č. 20/1987 Sb., o státní památkové péči v</w:t>
      </w:r>
      <w:r w:rsidR="00582C09">
        <w:rPr>
          <w:rFonts w:asciiTheme="minorHAnsi" w:hAnsiTheme="minorHAnsi"/>
          <w:sz w:val="26"/>
          <w:szCs w:val="26"/>
        </w:rPr>
        <w:t xml:space="preserve"> platném znění) </w:t>
      </w:r>
      <w:r w:rsidR="008B40FE">
        <w:rPr>
          <w:rFonts w:asciiTheme="minorHAnsi" w:hAnsiTheme="minorHAnsi"/>
          <w:sz w:val="26"/>
          <w:szCs w:val="26"/>
        </w:rPr>
        <w:t>jako info</w:t>
      </w:r>
      <w:r w:rsidR="00834788">
        <w:rPr>
          <w:rFonts w:asciiTheme="minorHAnsi" w:hAnsiTheme="minorHAnsi"/>
          <w:sz w:val="26"/>
          <w:szCs w:val="26"/>
        </w:rPr>
        <w:t>rmaci</w:t>
      </w:r>
      <w:r w:rsidR="008B40FE">
        <w:rPr>
          <w:rFonts w:asciiTheme="minorHAnsi" w:hAnsiTheme="minorHAnsi"/>
          <w:sz w:val="26"/>
          <w:szCs w:val="26"/>
        </w:rPr>
        <w:t xml:space="preserve"> pro veřejnost </w:t>
      </w:r>
      <w:r w:rsidR="00834788">
        <w:rPr>
          <w:rFonts w:asciiTheme="minorHAnsi" w:hAnsiTheme="minorHAnsi"/>
          <w:sz w:val="26"/>
          <w:szCs w:val="26"/>
        </w:rPr>
        <w:t>odborný názor na návrh Metropolitního plánu hl. m. Prahy (MP)</w:t>
      </w:r>
      <w:r w:rsidR="00834788" w:rsidRPr="00170BBA">
        <w:rPr>
          <w:rFonts w:asciiTheme="minorHAnsi" w:hAnsiTheme="minorHAnsi"/>
          <w:sz w:val="26"/>
          <w:szCs w:val="26"/>
        </w:rPr>
        <w:t>, který se týká i mnoha kulturních památek a památkových území, jejichž ochranu</w:t>
      </w:r>
      <w:r w:rsidR="00582C09">
        <w:rPr>
          <w:rFonts w:asciiTheme="minorHAnsi" w:hAnsiTheme="minorHAnsi"/>
          <w:sz w:val="26"/>
          <w:szCs w:val="26"/>
        </w:rPr>
        <w:t xml:space="preserve"> </w:t>
      </w:r>
      <w:r w:rsidR="00834788" w:rsidRPr="00170BBA">
        <w:rPr>
          <w:rFonts w:asciiTheme="minorHAnsi" w:hAnsiTheme="minorHAnsi"/>
          <w:sz w:val="26"/>
          <w:szCs w:val="26"/>
        </w:rPr>
        <w:t>má spolu s orgány státní správy na úseku státní památkové péče garantovat.</w:t>
      </w:r>
    </w:p>
    <w:p w:rsidR="00834788" w:rsidRDefault="00834788" w:rsidP="003C0312">
      <w:pPr>
        <w:jc w:val="both"/>
        <w:rPr>
          <w:rFonts w:asciiTheme="minorHAnsi" w:hAnsiTheme="minorHAnsi"/>
          <w:sz w:val="26"/>
          <w:szCs w:val="26"/>
        </w:rPr>
      </w:pPr>
    </w:p>
    <w:p w:rsidR="00EB0DF3" w:rsidRPr="00EB0DF3" w:rsidRDefault="00834788" w:rsidP="00EB0DF3">
      <w:pPr>
        <w:jc w:val="both"/>
        <w:rPr>
          <w:rFonts w:asciiTheme="minorHAnsi" w:hAnsiTheme="minorHAnsi"/>
          <w:kern w:val="1"/>
          <w:sz w:val="22"/>
          <w:szCs w:val="22"/>
        </w:rPr>
      </w:pPr>
      <w:r w:rsidRPr="00582C09">
        <w:rPr>
          <w:rFonts w:asciiTheme="minorHAnsi" w:hAnsiTheme="minorHAnsi"/>
          <w:sz w:val="22"/>
          <w:szCs w:val="22"/>
        </w:rPr>
        <w:t xml:space="preserve">NPÚ se s návrhem MP </w:t>
      </w:r>
      <w:r w:rsidR="00170BBA" w:rsidRPr="00582C09">
        <w:rPr>
          <w:rFonts w:asciiTheme="minorHAnsi" w:hAnsiTheme="minorHAnsi"/>
          <w:sz w:val="22"/>
          <w:szCs w:val="22"/>
        </w:rPr>
        <w:t>podrobně seznámil</w:t>
      </w:r>
      <w:r w:rsidR="00582C09">
        <w:rPr>
          <w:rFonts w:asciiTheme="minorHAnsi" w:hAnsiTheme="minorHAnsi"/>
          <w:sz w:val="22"/>
          <w:szCs w:val="22"/>
        </w:rPr>
        <w:t xml:space="preserve">, shledal </w:t>
      </w:r>
      <w:r w:rsidR="00582C09" w:rsidRPr="00582C09">
        <w:rPr>
          <w:rFonts w:asciiTheme="minorHAnsi" w:hAnsiTheme="minorHAnsi"/>
          <w:sz w:val="22"/>
          <w:szCs w:val="22"/>
        </w:rPr>
        <w:t xml:space="preserve">závažné nedostatky věcného charakteru a </w:t>
      </w:r>
      <w:r w:rsidR="00582C09">
        <w:rPr>
          <w:rFonts w:asciiTheme="minorHAnsi" w:hAnsiTheme="minorHAnsi"/>
          <w:sz w:val="22"/>
          <w:szCs w:val="22"/>
        </w:rPr>
        <w:t>ne</w:t>
      </w:r>
      <w:r w:rsidR="00582C09" w:rsidRPr="00582C09">
        <w:rPr>
          <w:rFonts w:asciiTheme="minorHAnsi" w:hAnsiTheme="minorHAnsi"/>
          <w:bCs/>
          <w:sz w:val="22"/>
          <w:szCs w:val="22"/>
        </w:rPr>
        <w:t>soulad s platnými právními předpisy, které hájí veřejný zájem</w:t>
      </w:r>
      <w:r w:rsidR="00527D02">
        <w:rPr>
          <w:rFonts w:asciiTheme="minorHAnsi" w:hAnsiTheme="minorHAnsi"/>
          <w:bCs/>
          <w:sz w:val="22"/>
          <w:szCs w:val="22"/>
        </w:rPr>
        <w:t xml:space="preserve">. </w:t>
      </w:r>
    </w:p>
    <w:p w:rsidR="00EB0DF3" w:rsidRDefault="00EB0DF3" w:rsidP="00170BBA">
      <w:pPr>
        <w:jc w:val="both"/>
        <w:rPr>
          <w:rFonts w:asciiTheme="minorHAnsi" w:hAnsiTheme="minorHAnsi"/>
          <w:sz w:val="26"/>
          <w:szCs w:val="26"/>
        </w:rPr>
      </w:pPr>
    </w:p>
    <w:p w:rsidR="00170BBA" w:rsidRPr="00645D58" w:rsidRDefault="00170BBA" w:rsidP="00170BBA">
      <w:pPr>
        <w:jc w:val="both"/>
        <w:rPr>
          <w:rFonts w:asciiTheme="minorHAnsi" w:hAnsiTheme="minorHAnsi"/>
          <w:sz w:val="26"/>
          <w:szCs w:val="26"/>
        </w:rPr>
      </w:pPr>
      <w:r w:rsidRPr="00170BBA">
        <w:rPr>
          <w:rFonts w:asciiTheme="minorHAnsi" w:hAnsiTheme="minorHAnsi"/>
          <w:bCs/>
          <w:sz w:val="22"/>
          <w:szCs w:val="22"/>
        </w:rPr>
        <w:t xml:space="preserve">Z hlediska památkové péče </w:t>
      </w:r>
      <w:r w:rsidRPr="00582C09">
        <w:rPr>
          <w:rFonts w:asciiTheme="minorHAnsi" w:hAnsiTheme="minorHAnsi"/>
          <w:b/>
          <w:bCs/>
          <w:sz w:val="22"/>
          <w:szCs w:val="22"/>
        </w:rPr>
        <w:t xml:space="preserve">je </w:t>
      </w:r>
      <w:r w:rsidR="00582C09">
        <w:rPr>
          <w:rFonts w:asciiTheme="minorHAnsi" w:hAnsiTheme="minorHAnsi"/>
          <w:b/>
          <w:bCs/>
          <w:sz w:val="22"/>
          <w:szCs w:val="22"/>
        </w:rPr>
        <w:t xml:space="preserve">návrh </w:t>
      </w:r>
      <w:r w:rsidR="00EB0DF3" w:rsidRPr="00582C09">
        <w:rPr>
          <w:rFonts w:asciiTheme="minorHAnsi" w:hAnsiTheme="minorHAnsi"/>
          <w:b/>
          <w:bCs/>
          <w:sz w:val="22"/>
          <w:szCs w:val="22"/>
        </w:rPr>
        <w:t>MP v rozporu</w:t>
      </w:r>
      <w:r w:rsidR="00EB0DF3">
        <w:rPr>
          <w:rFonts w:asciiTheme="minorHAnsi" w:hAnsiTheme="minorHAnsi"/>
          <w:bCs/>
          <w:sz w:val="22"/>
          <w:szCs w:val="22"/>
        </w:rPr>
        <w:t xml:space="preserve"> </w:t>
      </w:r>
      <w:r w:rsidR="00EB0DF3" w:rsidRPr="00EB0DF3">
        <w:rPr>
          <w:rFonts w:asciiTheme="minorHAnsi" w:hAnsiTheme="minorHAnsi"/>
          <w:bCs/>
          <w:sz w:val="22"/>
          <w:szCs w:val="22"/>
        </w:rPr>
        <w:t>se</w:t>
      </w:r>
      <w:r w:rsidR="00EB0DF3">
        <w:rPr>
          <w:rFonts w:asciiTheme="minorHAnsi" w:hAnsiTheme="minorHAnsi"/>
          <w:b/>
          <w:bCs/>
          <w:sz w:val="22"/>
          <w:szCs w:val="22"/>
        </w:rPr>
        <w:t xml:space="preserve"> </w:t>
      </w:r>
      <w:r w:rsidRPr="00170BBA">
        <w:rPr>
          <w:rFonts w:asciiTheme="minorHAnsi" w:hAnsiTheme="minorHAnsi"/>
          <w:b/>
          <w:bCs/>
          <w:sz w:val="22"/>
          <w:szCs w:val="22"/>
        </w:rPr>
        <w:t>zákon</w:t>
      </w:r>
      <w:r w:rsidR="00EB0DF3">
        <w:rPr>
          <w:rFonts w:asciiTheme="minorHAnsi" w:hAnsiTheme="minorHAnsi"/>
          <w:b/>
          <w:bCs/>
          <w:sz w:val="22"/>
          <w:szCs w:val="22"/>
        </w:rPr>
        <w:t>em</w:t>
      </w:r>
      <w:r w:rsidRPr="00170BBA">
        <w:rPr>
          <w:rFonts w:asciiTheme="minorHAnsi" w:hAnsiTheme="minorHAnsi"/>
          <w:b/>
          <w:bCs/>
          <w:sz w:val="22"/>
          <w:szCs w:val="22"/>
        </w:rPr>
        <w:t xml:space="preserve"> </w:t>
      </w:r>
      <w:r w:rsidRPr="00170BBA">
        <w:rPr>
          <w:rFonts w:asciiTheme="minorHAnsi" w:hAnsiTheme="minorHAnsi"/>
          <w:b/>
          <w:bCs/>
          <w:color w:val="000000"/>
          <w:sz w:val="22"/>
          <w:szCs w:val="22"/>
        </w:rPr>
        <w:t>č. 20/1987 Sb., o státní památkové péči, v platném znění</w:t>
      </w:r>
      <w:r w:rsidRPr="00170BBA">
        <w:rPr>
          <w:rStyle w:val="Znakapoznpodarou"/>
          <w:rFonts w:asciiTheme="minorHAnsi" w:hAnsiTheme="minorHAnsi"/>
          <w:bCs/>
          <w:sz w:val="22"/>
          <w:szCs w:val="22"/>
        </w:rPr>
        <w:footnoteReference w:id="1"/>
      </w:r>
      <w:r w:rsidRPr="00170BBA">
        <w:rPr>
          <w:rFonts w:asciiTheme="minorHAnsi" w:hAnsiTheme="minorHAnsi"/>
          <w:b/>
          <w:bCs/>
          <w:sz w:val="22"/>
          <w:szCs w:val="22"/>
        </w:rPr>
        <w:t xml:space="preserve"> a </w:t>
      </w:r>
      <w:r w:rsidRPr="00170BBA">
        <w:rPr>
          <w:rFonts w:asciiTheme="minorHAnsi" w:hAnsiTheme="minorHAnsi"/>
          <w:b/>
          <w:bCs/>
          <w:color w:val="000000"/>
          <w:sz w:val="22"/>
          <w:szCs w:val="22"/>
        </w:rPr>
        <w:t> obsáhlý</w:t>
      </w:r>
      <w:r w:rsidR="00582C09">
        <w:rPr>
          <w:rFonts w:asciiTheme="minorHAnsi" w:hAnsiTheme="minorHAnsi"/>
          <w:b/>
          <w:bCs/>
          <w:color w:val="000000"/>
          <w:sz w:val="22"/>
          <w:szCs w:val="22"/>
        </w:rPr>
        <w:t>m</w:t>
      </w:r>
      <w:r w:rsidRPr="00170BBA">
        <w:rPr>
          <w:rFonts w:asciiTheme="minorHAnsi" w:hAnsiTheme="minorHAnsi"/>
          <w:b/>
          <w:bCs/>
          <w:color w:val="000000"/>
          <w:sz w:val="22"/>
          <w:szCs w:val="22"/>
        </w:rPr>
        <w:t xml:space="preserve"> soubor</w:t>
      </w:r>
      <w:r w:rsidR="00582C09">
        <w:rPr>
          <w:rFonts w:asciiTheme="minorHAnsi" w:hAnsiTheme="minorHAnsi"/>
          <w:b/>
          <w:bCs/>
          <w:color w:val="000000"/>
          <w:sz w:val="22"/>
          <w:szCs w:val="22"/>
        </w:rPr>
        <w:t>em</w:t>
      </w:r>
      <w:r w:rsidRPr="00170BBA">
        <w:rPr>
          <w:rFonts w:asciiTheme="minorHAnsi" w:hAnsiTheme="minorHAnsi"/>
          <w:b/>
          <w:bCs/>
          <w:color w:val="000000"/>
          <w:sz w:val="22"/>
          <w:szCs w:val="22"/>
        </w:rPr>
        <w:t xml:space="preserve"> dalších právních předpisů</w:t>
      </w:r>
      <w:r w:rsidRPr="00170BBA">
        <w:rPr>
          <w:rStyle w:val="Znakapoznpodarou"/>
          <w:rFonts w:asciiTheme="minorHAnsi" w:hAnsiTheme="minorHAnsi"/>
          <w:b/>
          <w:bCs/>
          <w:color w:val="000000"/>
          <w:sz w:val="22"/>
          <w:szCs w:val="22"/>
        </w:rPr>
        <w:footnoteReference w:id="2"/>
      </w:r>
      <w:r w:rsidRPr="00170BBA">
        <w:rPr>
          <w:rFonts w:asciiTheme="minorHAnsi" w:hAnsiTheme="minorHAnsi"/>
          <w:b/>
          <w:bCs/>
          <w:color w:val="000000"/>
          <w:sz w:val="22"/>
          <w:szCs w:val="22"/>
        </w:rPr>
        <w:t xml:space="preserve">. </w:t>
      </w:r>
      <w:r w:rsidRPr="00170BBA">
        <w:rPr>
          <w:rFonts w:asciiTheme="minorHAnsi" w:hAnsiTheme="minorHAnsi"/>
          <w:bCs/>
          <w:color w:val="000000"/>
          <w:sz w:val="22"/>
          <w:szCs w:val="22"/>
        </w:rPr>
        <w:t>Návrh MP n</w:t>
      </w:r>
      <w:r w:rsidRPr="00170BBA">
        <w:rPr>
          <w:rFonts w:asciiTheme="minorHAnsi" w:hAnsiTheme="minorHAnsi"/>
          <w:bCs/>
          <w:sz w:val="22"/>
          <w:szCs w:val="22"/>
        </w:rPr>
        <w:t>erespektuje</w:t>
      </w:r>
      <w:r w:rsidRPr="00170BBA">
        <w:rPr>
          <w:rFonts w:asciiTheme="minorHAnsi" w:hAnsiTheme="minorHAnsi"/>
          <w:b/>
          <w:bCs/>
          <w:sz w:val="22"/>
          <w:szCs w:val="22"/>
        </w:rPr>
        <w:t xml:space="preserve"> </w:t>
      </w:r>
      <w:r w:rsidRPr="00170BBA">
        <w:rPr>
          <w:rFonts w:asciiTheme="minorHAnsi" w:hAnsiTheme="minorHAnsi"/>
          <w:b/>
          <w:bCs/>
          <w:color w:val="000000"/>
          <w:sz w:val="22"/>
          <w:szCs w:val="22"/>
        </w:rPr>
        <w:t>mezinárodní úmluvy, které jsou součástí právního řádu ČR ve vztahu k ochraně kulturního dědictví</w:t>
      </w:r>
      <w:r w:rsidRPr="00170BBA">
        <w:rPr>
          <w:rStyle w:val="Znakapoznpodarou"/>
          <w:rFonts w:asciiTheme="minorHAnsi" w:hAnsiTheme="minorHAnsi"/>
          <w:b/>
          <w:bCs/>
          <w:color w:val="000000"/>
          <w:sz w:val="22"/>
          <w:szCs w:val="22"/>
        </w:rPr>
        <w:footnoteReference w:id="3"/>
      </w:r>
      <w:r w:rsidRPr="00170BBA">
        <w:rPr>
          <w:rFonts w:asciiTheme="minorHAnsi" w:hAnsiTheme="minorHAnsi"/>
          <w:b/>
          <w:bCs/>
          <w:color w:val="000000"/>
          <w:sz w:val="22"/>
          <w:szCs w:val="22"/>
        </w:rPr>
        <w:t xml:space="preserve"> ani</w:t>
      </w:r>
      <w:r w:rsidRPr="00170BBA">
        <w:rPr>
          <w:rFonts w:asciiTheme="minorHAnsi" w:hAnsiTheme="minorHAnsi"/>
          <w:b/>
          <w:bCs/>
          <w:sz w:val="22"/>
          <w:szCs w:val="22"/>
        </w:rPr>
        <w:t xml:space="preserve"> doporučení Výboru světového dědictví z roku 2008 v oblasti pankrácké pláně</w:t>
      </w:r>
      <w:r w:rsidRPr="00170BBA">
        <w:rPr>
          <w:rStyle w:val="Znakapoznpodarou"/>
          <w:rFonts w:asciiTheme="minorHAnsi" w:hAnsiTheme="minorHAnsi"/>
          <w:b/>
          <w:bCs/>
          <w:sz w:val="22"/>
          <w:szCs w:val="22"/>
        </w:rPr>
        <w:footnoteReference w:id="4"/>
      </w:r>
      <w:r w:rsidRPr="00170BBA">
        <w:rPr>
          <w:rFonts w:asciiTheme="minorHAnsi" w:hAnsiTheme="minorHAnsi"/>
          <w:bCs/>
          <w:sz w:val="22"/>
          <w:szCs w:val="22"/>
        </w:rPr>
        <w:t>. Návrh MP nenastavuje</w:t>
      </w:r>
      <w:r w:rsidRPr="00170BBA">
        <w:rPr>
          <w:rFonts w:asciiTheme="minorHAnsi" w:hAnsiTheme="minorHAnsi"/>
          <w:sz w:val="22"/>
          <w:szCs w:val="22"/>
        </w:rPr>
        <w:t xml:space="preserve"> žádnou koncepci památkové ochrany a rozvoje hodnot území, naopak smysl těchto prokazatelných hodnot účelově deformuje. </w:t>
      </w:r>
      <w:r w:rsidRPr="00170BBA">
        <w:rPr>
          <w:rFonts w:asciiTheme="minorHAnsi" w:hAnsiTheme="minorHAnsi"/>
          <w:bCs/>
          <w:sz w:val="22"/>
          <w:szCs w:val="22"/>
        </w:rPr>
        <w:t>Ve výrokové (závazné) části</w:t>
      </w:r>
      <w:r w:rsidRPr="00170BBA">
        <w:rPr>
          <w:rStyle w:val="Znakapoznpodarou"/>
          <w:rFonts w:asciiTheme="minorHAnsi" w:hAnsiTheme="minorHAnsi"/>
          <w:sz w:val="22"/>
          <w:szCs w:val="22"/>
        </w:rPr>
        <w:footnoteReference w:id="5"/>
      </w:r>
      <w:r w:rsidRPr="00170BBA">
        <w:rPr>
          <w:rFonts w:asciiTheme="minorHAnsi" w:hAnsiTheme="minorHAnsi"/>
          <w:sz w:val="22"/>
          <w:szCs w:val="22"/>
        </w:rPr>
        <w:t xml:space="preserve"> </w:t>
      </w:r>
      <w:r w:rsidR="00EA609C" w:rsidRPr="00170BBA">
        <w:rPr>
          <w:rFonts w:asciiTheme="minorHAnsi" w:hAnsiTheme="minorHAnsi"/>
          <w:sz w:val="22"/>
          <w:szCs w:val="22"/>
        </w:rPr>
        <w:t xml:space="preserve">respektuje </w:t>
      </w:r>
      <w:r w:rsidRPr="00170BBA">
        <w:rPr>
          <w:rFonts w:asciiTheme="minorHAnsi" w:hAnsiTheme="minorHAnsi"/>
          <w:sz w:val="22"/>
          <w:szCs w:val="22"/>
        </w:rPr>
        <w:t>jako stabilizované chráněné území pouze části</w:t>
      </w:r>
      <w:r w:rsidR="00EA609C" w:rsidRPr="00EA609C">
        <w:rPr>
          <w:rFonts w:asciiTheme="minorHAnsi" w:hAnsiTheme="minorHAnsi"/>
          <w:sz w:val="22"/>
          <w:szCs w:val="22"/>
        </w:rPr>
        <w:t xml:space="preserve"> </w:t>
      </w:r>
      <w:r w:rsidR="00EA609C" w:rsidRPr="00170BBA">
        <w:rPr>
          <w:rFonts w:asciiTheme="minorHAnsi" w:hAnsiTheme="minorHAnsi"/>
          <w:sz w:val="22"/>
          <w:szCs w:val="22"/>
        </w:rPr>
        <w:t>Pražské památkové rezervace</w:t>
      </w:r>
      <w:r w:rsidRPr="00170BBA">
        <w:rPr>
          <w:rFonts w:asciiTheme="minorHAnsi" w:hAnsiTheme="minorHAnsi"/>
          <w:sz w:val="22"/>
          <w:szCs w:val="22"/>
        </w:rPr>
        <w:t xml:space="preserve">. </w:t>
      </w:r>
      <w:r w:rsidR="00EA609C">
        <w:rPr>
          <w:rFonts w:asciiTheme="minorHAnsi" w:hAnsiTheme="minorHAnsi"/>
          <w:sz w:val="22"/>
          <w:szCs w:val="22"/>
        </w:rPr>
        <w:t>I</w:t>
      </w:r>
      <w:r w:rsidRPr="00170BBA">
        <w:rPr>
          <w:rFonts w:asciiTheme="minorHAnsi" w:hAnsiTheme="minorHAnsi"/>
          <w:sz w:val="22"/>
          <w:szCs w:val="22"/>
        </w:rPr>
        <w:t>gnoruje další památkov</w:t>
      </w:r>
      <w:r w:rsidR="00EA609C">
        <w:rPr>
          <w:rFonts w:asciiTheme="minorHAnsi" w:hAnsiTheme="minorHAnsi"/>
          <w:sz w:val="22"/>
          <w:szCs w:val="22"/>
        </w:rPr>
        <w:t>é</w:t>
      </w:r>
      <w:r w:rsidRPr="00170BBA">
        <w:rPr>
          <w:rFonts w:asciiTheme="minorHAnsi" w:hAnsiTheme="minorHAnsi"/>
          <w:sz w:val="22"/>
          <w:szCs w:val="22"/>
        </w:rPr>
        <w:t xml:space="preserve"> rezervac</w:t>
      </w:r>
      <w:r w:rsidR="00EA609C">
        <w:rPr>
          <w:rFonts w:asciiTheme="minorHAnsi" w:hAnsiTheme="minorHAnsi"/>
          <w:sz w:val="22"/>
          <w:szCs w:val="22"/>
        </w:rPr>
        <w:t>e</w:t>
      </w:r>
      <w:r w:rsidRPr="00170BBA">
        <w:rPr>
          <w:rFonts w:asciiTheme="minorHAnsi" w:hAnsiTheme="minorHAnsi"/>
          <w:sz w:val="22"/>
          <w:szCs w:val="22"/>
        </w:rPr>
        <w:t xml:space="preserve"> a </w:t>
      </w:r>
      <w:r w:rsidR="00EA609C">
        <w:rPr>
          <w:rFonts w:asciiTheme="minorHAnsi" w:hAnsiTheme="minorHAnsi"/>
          <w:sz w:val="22"/>
          <w:szCs w:val="22"/>
        </w:rPr>
        <w:t xml:space="preserve">všechny </w:t>
      </w:r>
      <w:r w:rsidRPr="00170BBA">
        <w:rPr>
          <w:rFonts w:asciiTheme="minorHAnsi" w:hAnsiTheme="minorHAnsi"/>
          <w:sz w:val="22"/>
          <w:szCs w:val="22"/>
        </w:rPr>
        <w:t>památkov</w:t>
      </w:r>
      <w:r w:rsidR="00EA609C">
        <w:rPr>
          <w:rFonts w:asciiTheme="minorHAnsi" w:hAnsiTheme="minorHAnsi"/>
          <w:sz w:val="22"/>
          <w:szCs w:val="22"/>
        </w:rPr>
        <w:t>é</w:t>
      </w:r>
      <w:r w:rsidRPr="00170BBA">
        <w:rPr>
          <w:rFonts w:asciiTheme="minorHAnsi" w:hAnsiTheme="minorHAnsi"/>
          <w:sz w:val="22"/>
          <w:szCs w:val="22"/>
        </w:rPr>
        <w:t xml:space="preserve"> zón</w:t>
      </w:r>
      <w:r w:rsidR="00EA609C">
        <w:rPr>
          <w:rFonts w:asciiTheme="minorHAnsi" w:hAnsiTheme="minorHAnsi"/>
          <w:sz w:val="22"/>
          <w:szCs w:val="22"/>
        </w:rPr>
        <w:t>y</w:t>
      </w:r>
      <w:r w:rsidRPr="00170BBA">
        <w:rPr>
          <w:rFonts w:asciiTheme="minorHAnsi" w:hAnsiTheme="minorHAnsi"/>
          <w:sz w:val="22"/>
          <w:szCs w:val="22"/>
        </w:rPr>
        <w:t xml:space="preserve">. Jde přitom o tak kvalitní </w:t>
      </w:r>
      <w:r w:rsidR="00EA609C">
        <w:rPr>
          <w:rFonts w:asciiTheme="minorHAnsi" w:hAnsiTheme="minorHAnsi"/>
          <w:sz w:val="22"/>
          <w:szCs w:val="22"/>
        </w:rPr>
        <w:t>území</w:t>
      </w:r>
      <w:r w:rsidRPr="00170BBA">
        <w:rPr>
          <w:rFonts w:asciiTheme="minorHAnsi" w:hAnsiTheme="minorHAnsi"/>
          <w:sz w:val="22"/>
          <w:szCs w:val="22"/>
        </w:rPr>
        <w:t>, jakými jsou např. Vinohrady, Dejvic</w:t>
      </w:r>
      <w:r w:rsidR="00645D58">
        <w:rPr>
          <w:rFonts w:asciiTheme="minorHAnsi" w:hAnsiTheme="minorHAnsi"/>
          <w:sz w:val="22"/>
          <w:szCs w:val="22"/>
        </w:rPr>
        <w:t>e, Smíchov, Vršovice, či vilová zástavba</w:t>
      </w:r>
      <w:r w:rsidRPr="00170BBA">
        <w:rPr>
          <w:rFonts w:asciiTheme="minorHAnsi" w:hAnsiTheme="minorHAnsi"/>
          <w:sz w:val="22"/>
          <w:szCs w:val="22"/>
        </w:rPr>
        <w:t xml:space="preserve"> Ořechovky, Baby nebo Barrandova. Ani ta by v budoucnu nebyla chráněná, stabilizovaná.</w:t>
      </w:r>
    </w:p>
    <w:p w:rsidR="00645D58" w:rsidRDefault="00645D58" w:rsidP="00170BBA">
      <w:pPr>
        <w:jc w:val="both"/>
        <w:rPr>
          <w:rFonts w:asciiTheme="minorHAnsi" w:hAnsiTheme="minorHAnsi"/>
          <w:sz w:val="22"/>
          <w:szCs w:val="22"/>
        </w:rPr>
      </w:pPr>
    </w:p>
    <w:p w:rsidR="00170BBA" w:rsidRPr="00645D58" w:rsidRDefault="00170BBA" w:rsidP="00170BBA">
      <w:pPr>
        <w:jc w:val="both"/>
        <w:rPr>
          <w:rFonts w:asciiTheme="minorHAnsi" w:hAnsiTheme="minorHAnsi"/>
          <w:sz w:val="22"/>
          <w:szCs w:val="22"/>
        </w:rPr>
      </w:pPr>
      <w:r w:rsidRPr="00170BBA">
        <w:rPr>
          <w:rFonts w:asciiTheme="minorHAnsi" w:hAnsiTheme="minorHAnsi"/>
          <w:sz w:val="22"/>
          <w:szCs w:val="22"/>
        </w:rPr>
        <w:t xml:space="preserve">Nelze souhlasit </w:t>
      </w:r>
      <w:r w:rsidRPr="00EA609C">
        <w:rPr>
          <w:rFonts w:asciiTheme="minorHAnsi" w:hAnsiTheme="minorHAnsi"/>
          <w:b/>
          <w:sz w:val="22"/>
          <w:szCs w:val="22"/>
        </w:rPr>
        <w:t>s návrhem výškové regulace</w:t>
      </w:r>
      <w:r w:rsidRPr="00170BBA">
        <w:rPr>
          <w:rStyle w:val="Znakapoznpodarou"/>
          <w:rFonts w:asciiTheme="minorHAnsi" w:hAnsiTheme="minorHAnsi"/>
          <w:sz w:val="22"/>
          <w:szCs w:val="22"/>
        </w:rPr>
        <w:footnoteReference w:id="6"/>
      </w:r>
      <w:r w:rsidRPr="00170BBA">
        <w:rPr>
          <w:rFonts w:asciiTheme="minorHAnsi" w:hAnsiTheme="minorHAnsi"/>
          <w:sz w:val="22"/>
          <w:szCs w:val="22"/>
        </w:rPr>
        <w:t xml:space="preserve">. Koncepčním rámcem návrhu MP je „monocentričnost“ </w:t>
      </w:r>
      <w:r w:rsidR="00527D02">
        <w:rPr>
          <w:rFonts w:asciiTheme="minorHAnsi" w:hAnsiTheme="minorHAnsi"/>
          <w:sz w:val="22"/>
          <w:szCs w:val="22"/>
        </w:rPr>
        <w:t>a</w:t>
      </w:r>
      <w:r w:rsidRPr="00170BBA">
        <w:rPr>
          <w:rFonts w:asciiTheme="minorHAnsi" w:hAnsiTheme="minorHAnsi"/>
          <w:sz w:val="22"/>
          <w:szCs w:val="22"/>
        </w:rPr>
        <w:t xml:space="preserve"> „dostřednost“, otevír</w:t>
      </w:r>
      <w:r w:rsidR="00527D02">
        <w:rPr>
          <w:rFonts w:asciiTheme="minorHAnsi" w:hAnsiTheme="minorHAnsi"/>
          <w:sz w:val="22"/>
          <w:szCs w:val="22"/>
        </w:rPr>
        <w:t>ající</w:t>
      </w:r>
      <w:r w:rsidRPr="00170BBA">
        <w:rPr>
          <w:rFonts w:asciiTheme="minorHAnsi" w:hAnsiTheme="minorHAnsi"/>
          <w:sz w:val="22"/>
          <w:szCs w:val="22"/>
        </w:rPr>
        <w:t xml:space="preserve"> cestu k </w:t>
      </w:r>
      <w:r w:rsidRPr="00EA609C">
        <w:rPr>
          <w:rFonts w:asciiTheme="minorHAnsi" w:hAnsiTheme="minorHAnsi"/>
          <w:b/>
          <w:sz w:val="22"/>
          <w:szCs w:val="22"/>
        </w:rPr>
        <w:t>zahušťování historického středu města</w:t>
      </w:r>
      <w:r w:rsidRPr="00170BBA">
        <w:rPr>
          <w:rFonts w:asciiTheme="minorHAnsi" w:hAnsiTheme="minorHAnsi"/>
          <w:sz w:val="22"/>
          <w:szCs w:val="22"/>
        </w:rPr>
        <w:t xml:space="preserve"> postupným </w:t>
      </w:r>
      <w:r w:rsidRPr="00EA609C">
        <w:rPr>
          <w:rFonts w:asciiTheme="minorHAnsi" w:hAnsiTheme="minorHAnsi"/>
          <w:b/>
          <w:sz w:val="22"/>
          <w:szCs w:val="22"/>
        </w:rPr>
        <w:t>zvýšením stávajících objektů</w:t>
      </w:r>
      <w:r w:rsidR="00527D02">
        <w:rPr>
          <w:rFonts w:asciiTheme="minorHAnsi" w:hAnsiTheme="minorHAnsi"/>
          <w:b/>
          <w:sz w:val="22"/>
          <w:szCs w:val="22"/>
        </w:rPr>
        <w:t xml:space="preserve"> </w:t>
      </w:r>
      <w:r w:rsidR="00527D02" w:rsidRPr="00527D02">
        <w:rPr>
          <w:rFonts w:asciiTheme="minorHAnsi" w:hAnsiTheme="minorHAnsi"/>
          <w:sz w:val="22"/>
          <w:szCs w:val="22"/>
        </w:rPr>
        <w:t>a</w:t>
      </w:r>
      <w:r w:rsidR="00527D02">
        <w:rPr>
          <w:rFonts w:asciiTheme="minorHAnsi" w:hAnsiTheme="minorHAnsi"/>
          <w:b/>
          <w:sz w:val="22"/>
          <w:szCs w:val="22"/>
        </w:rPr>
        <w:t xml:space="preserve"> </w:t>
      </w:r>
      <w:r w:rsidRPr="00170BBA">
        <w:rPr>
          <w:rFonts w:asciiTheme="minorHAnsi" w:hAnsiTheme="minorHAnsi"/>
          <w:sz w:val="22"/>
          <w:szCs w:val="22"/>
        </w:rPr>
        <w:t xml:space="preserve">umožněním </w:t>
      </w:r>
      <w:r w:rsidRPr="00EA609C">
        <w:rPr>
          <w:rFonts w:asciiTheme="minorHAnsi" w:hAnsiTheme="minorHAnsi"/>
          <w:b/>
          <w:sz w:val="22"/>
          <w:szCs w:val="22"/>
        </w:rPr>
        <w:t>nové zástavby na chráněných plochách</w:t>
      </w:r>
      <w:r w:rsidRPr="00170BBA">
        <w:rPr>
          <w:rFonts w:asciiTheme="minorHAnsi" w:hAnsiTheme="minorHAnsi"/>
          <w:sz w:val="22"/>
          <w:szCs w:val="22"/>
        </w:rPr>
        <w:t xml:space="preserve">, včetně řady historických zahrad a parků. </w:t>
      </w:r>
      <w:r w:rsidR="00AD17D7">
        <w:rPr>
          <w:rFonts w:asciiTheme="minorHAnsi" w:hAnsiTheme="minorHAnsi"/>
          <w:sz w:val="22"/>
          <w:szCs w:val="22"/>
        </w:rPr>
        <w:t>NPÚ je toho názoru, že s</w:t>
      </w:r>
      <w:r w:rsidRPr="00645D58">
        <w:rPr>
          <w:rFonts w:asciiTheme="minorHAnsi" w:hAnsiTheme="minorHAnsi"/>
          <w:sz w:val="22"/>
          <w:szCs w:val="22"/>
        </w:rPr>
        <w:t>chválení návrhu MP by vedlo k  přetížení památkově chráněných území</w:t>
      </w:r>
      <w:r w:rsidR="00EA609C">
        <w:rPr>
          <w:rFonts w:asciiTheme="minorHAnsi" w:hAnsiTheme="minorHAnsi"/>
          <w:sz w:val="22"/>
          <w:szCs w:val="22"/>
        </w:rPr>
        <w:t xml:space="preserve"> a</w:t>
      </w:r>
      <w:r w:rsidRPr="00645D58">
        <w:rPr>
          <w:rFonts w:asciiTheme="minorHAnsi" w:hAnsiTheme="minorHAnsi"/>
          <w:sz w:val="22"/>
          <w:szCs w:val="22"/>
        </w:rPr>
        <w:t xml:space="preserve">  jejich okolí,</w:t>
      </w:r>
      <w:r w:rsidRPr="00170BBA">
        <w:rPr>
          <w:rFonts w:asciiTheme="minorHAnsi" w:hAnsiTheme="minorHAnsi"/>
          <w:sz w:val="22"/>
          <w:szCs w:val="22"/>
        </w:rPr>
        <w:t xml:space="preserve"> zhoršení dopravní situace a souvisejících aspektů života města. </w:t>
      </w:r>
      <w:r w:rsidR="00AD17D7">
        <w:rPr>
          <w:rFonts w:asciiTheme="minorHAnsi" w:hAnsiTheme="minorHAnsi"/>
          <w:sz w:val="22"/>
          <w:szCs w:val="22"/>
        </w:rPr>
        <w:t>Ř</w:t>
      </w:r>
      <w:r w:rsidR="00AD17D7" w:rsidRPr="00170BBA">
        <w:rPr>
          <w:rFonts w:asciiTheme="minorHAnsi" w:hAnsiTheme="minorHAnsi"/>
          <w:sz w:val="22"/>
          <w:szCs w:val="22"/>
        </w:rPr>
        <w:t>ad</w:t>
      </w:r>
      <w:r w:rsidR="00AD17D7">
        <w:rPr>
          <w:rFonts w:asciiTheme="minorHAnsi" w:hAnsiTheme="minorHAnsi"/>
          <w:sz w:val="22"/>
          <w:szCs w:val="22"/>
        </w:rPr>
        <w:t>a</w:t>
      </w:r>
      <w:r w:rsidR="00AD17D7" w:rsidRPr="00170BBA">
        <w:rPr>
          <w:rFonts w:asciiTheme="minorHAnsi" w:hAnsiTheme="minorHAnsi"/>
          <w:sz w:val="22"/>
          <w:szCs w:val="22"/>
        </w:rPr>
        <w:t xml:space="preserve"> strategických materiálů přitom opakovaně doporuč</w:t>
      </w:r>
      <w:r w:rsidR="00AD17D7">
        <w:rPr>
          <w:rFonts w:asciiTheme="minorHAnsi" w:hAnsiTheme="minorHAnsi"/>
          <w:sz w:val="22"/>
          <w:szCs w:val="22"/>
        </w:rPr>
        <w:t>uje</w:t>
      </w:r>
      <w:r w:rsidR="00AD17D7" w:rsidRPr="00170BBA">
        <w:rPr>
          <w:rFonts w:asciiTheme="minorHAnsi" w:hAnsiTheme="minorHAnsi"/>
          <w:sz w:val="22"/>
          <w:szCs w:val="22"/>
        </w:rPr>
        <w:t xml:space="preserve"> pro chod města zásadní odlehčení</w:t>
      </w:r>
      <w:r w:rsidR="00AD17D7">
        <w:rPr>
          <w:rFonts w:asciiTheme="minorHAnsi" w:hAnsiTheme="minorHAnsi"/>
          <w:sz w:val="22"/>
          <w:szCs w:val="22"/>
        </w:rPr>
        <w:t xml:space="preserve"> centra</w:t>
      </w:r>
      <w:r w:rsidR="00AD17D7" w:rsidRPr="00170BBA">
        <w:rPr>
          <w:rFonts w:asciiTheme="minorHAnsi" w:hAnsiTheme="minorHAnsi"/>
          <w:sz w:val="22"/>
          <w:szCs w:val="22"/>
        </w:rPr>
        <w:t>.</w:t>
      </w:r>
      <w:r w:rsidR="00645D58">
        <w:rPr>
          <w:rFonts w:asciiTheme="minorHAnsi" w:hAnsiTheme="minorHAnsi"/>
          <w:sz w:val="22"/>
          <w:szCs w:val="22"/>
        </w:rPr>
        <w:t xml:space="preserve">NPÚ </w:t>
      </w:r>
      <w:r w:rsidR="00527D02">
        <w:rPr>
          <w:rFonts w:asciiTheme="minorHAnsi" w:hAnsiTheme="minorHAnsi"/>
          <w:sz w:val="22"/>
          <w:szCs w:val="22"/>
        </w:rPr>
        <w:t>nesouhlasí</w:t>
      </w:r>
      <w:r w:rsidRPr="00170BBA">
        <w:rPr>
          <w:rFonts w:asciiTheme="minorHAnsi" w:hAnsiTheme="minorHAnsi"/>
          <w:sz w:val="22"/>
          <w:szCs w:val="22"/>
        </w:rPr>
        <w:t xml:space="preserve"> </w:t>
      </w:r>
      <w:r w:rsidRPr="00527D02">
        <w:rPr>
          <w:rFonts w:asciiTheme="minorHAnsi" w:hAnsiTheme="minorHAnsi"/>
          <w:sz w:val="22"/>
          <w:szCs w:val="22"/>
        </w:rPr>
        <w:t>s návrhem</w:t>
      </w:r>
      <w:r w:rsidRPr="00170BBA">
        <w:rPr>
          <w:rFonts w:asciiTheme="minorHAnsi" w:hAnsiTheme="minorHAnsi"/>
          <w:sz w:val="22"/>
          <w:szCs w:val="22"/>
        </w:rPr>
        <w:t xml:space="preserve"> </w:t>
      </w:r>
      <w:r w:rsidR="008D7FCA">
        <w:rPr>
          <w:rFonts w:asciiTheme="minorHAnsi" w:hAnsiTheme="minorHAnsi"/>
          <w:sz w:val="22"/>
          <w:szCs w:val="22"/>
        </w:rPr>
        <w:t xml:space="preserve">MP na </w:t>
      </w:r>
      <w:r w:rsidRPr="00170BBA">
        <w:rPr>
          <w:rFonts w:asciiTheme="minorHAnsi" w:hAnsiTheme="minorHAnsi"/>
          <w:sz w:val="22"/>
          <w:szCs w:val="22"/>
        </w:rPr>
        <w:t xml:space="preserve">systematické </w:t>
      </w:r>
      <w:r w:rsidRPr="008D7FCA">
        <w:rPr>
          <w:rFonts w:asciiTheme="minorHAnsi" w:hAnsiTheme="minorHAnsi"/>
          <w:b/>
          <w:sz w:val="22"/>
          <w:szCs w:val="22"/>
        </w:rPr>
        <w:t>doplňování horizontů výškovými</w:t>
      </w:r>
      <w:r w:rsidRPr="00170BBA">
        <w:rPr>
          <w:rFonts w:asciiTheme="minorHAnsi" w:hAnsiTheme="minorHAnsi"/>
          <w:sz w:val="22"/>
          <w:szCs w:val="22"/>
        </w:rPr>
        <w:t xml:space="preserve"> </w:t>
      </w:r>
      <w:r w:rsidRPr="008D7FCA">
        <w:rPr>
          <w:rFonts w:asciiTheme="minorHAnsi" w:hAnsiTheme="minorHAnsi"/>
          <w:b/>
          <w:sz w:val="22"/>
          <w:szCs w:val="22"/>
        </w:rPr>
        <w:t>stavbami</w:t>
      </w:r>
      <w:r w:rsidRPr="00170BBA">
        <w:rPr>
          <w:rFonts w:asciiTheme="minorHAnsi" w:hAnsiTheme="minorHAnsi"/>
          <w:sz w:val="22"/>
          <w:szCs w:val="22"/>
        </w:rPr>
        <w:t xml:space="preserve"> </w:t>
      </w:r>
      <w:r w:rsidR="008D7FCA">
        <w:rPr>
          <w:rFonts w:asciiTheme="minorHAnsi" w:hAnsiTheme="minorHAnsi"/>
          <w:sz w:val="22"/>
          <w:szCs w:val="22"/>
        </w:rPr>
        <w:t>(</w:t>
      </w:r>
      <w:r w:rsidR="008D7FCA" w:rsidRPr="00170BBA">
        <w:rPr>
          <w:rFonts w:asciiTheme="minorHAnsi" w:hAnsiTheme="minorHAnsi"/>
          <w:sz w:val="22"/>
          <w:szCs w:val="22"/>
        </w:rPr>
        <w:t>skupin</w:t>
      </w:r>
      <w:r w:rsidR="008D7FCA">
        <w:rPr>
          <w:rFonts w:asciiTheme="minorHAnsi" w:hAnsiTheme="minorHAnsi"/>
          <w:sz w:val="22"/>
          <w:szCs w:val="22"/>
        </w:rPr>
        <w:t>y</w:t>
      </w:r>
      <w:r w:rsidR="008D7FCA" w:rsidRPr="00170BBA">
        <w:rPr>
          <w:rFonts w:asciiTheme="minorHAnsi" w:hAnsiTheme="minorHAnsi"/>
          <w:sz w:val="22"/>
          <w:szCs w:val="22"/>
        </w:rPr>
        <w:t xml:space="preserve"> věží o výšce až 27 podlaží)</w:t>
      </w:r>
      <w:r w:rsidR="008D7FCA">
        <w:rPr>
          <w:rFonts w:asciiTheme="minorHAnsi" w:hAnsiTheme="minorHAnsi"/>
          <w:sz w:val="22"/>
          <w:szCs w:val="22"/>
        </w:rPr>
        <w:t xml:space="preserve"> </w:t>
      </w:r>
      <w:r w:rsidRPr="00170BBA">
        <w:rPr>
          <w:rFonts w:asciiTheme="minorHAnsi" w:hAnsiTheme="minorHAnsi"/>
          <w:sz w:val="22"/>
          <w:szCs w:val="22"/>
        </w:rPr>
        <w:t>v ochranném pásmu památkové rezervace</w:t>
      </w:r>
      <w:r w:rsidR="008D7FCA">
        <w:rPr>
          <w:rStyle w:val="Znakapoznpodarou"/>
          <w:rFonts w:asciiTheme="minorHAnsi" w:hAnsiTheme="minorHAnsi"/>
          <w:sz w:val="22"/>
          <w:szCs w:val="22"/>
        </w:rPr>
        <w:footnoteReference w:id="7"/>
      </w:r>
      <w:r w:rsidRPr="00170BBA">
        <w:rPr>
          <w:rFonts w:asciiTheme="minorHAnsi" w:hAnsiTheme="minorHAnsi"/>
          <w:sz w:val="22"/>
          <w:szCs w:val="22"/>
        </w:rPr>
        <w:t xml:space="preserve">. </w:t>
      </w:r>
      <w:r w:rsidR="00645D58">
        <w:rPr>
          <w:rFonts w:asciiTheme="minorHAnsi" w:hAnsiTheme="minorHAnsi"/>
          <w:sz w:val="22"/>
          <w:szCs w:val="22"/>
        </w:rPr>
        <w:t>NPÚ n</w:t>
      </w:r>
      <w:r w:rsidRPr="00170BBA">
        <w:rPr>
          <w:rFonts w:asciiTheme="minorHAnsi" w:hAnsiTheme="minorHAnsi"/>
          <w:sz w:val="22"/>
          <w:szCs w:val="22"/>
        </w:rPr>
        <w:t>esouhlas</w:t>
      </w:r>
      <w:r w:rsidR="00645D58">
        <w:rPr>
          <w:rFonts w:asciiTheme="minorHAnsi" w:hAnsiTheme="minorHAnsi"/>
          <w:sz w:val="22"/>
          <w:szCs w:val="22"/>
        </w:rPr>
        <w:t xml:space="preserve">í </w:t>
      </w:r>
      <w:r w:rsidR="00645D58" w:rsidRPr="008D7FCA">
        <w:rPr>
          <w:rFonts w:asciiTheme="minorHAnsi" w:hAnsiTheme="minorHAnsi"/>
          <w:b/>
          <w:sz w:val="22"/>
          <w:szCs w:val="22"/>
        </w:rPr>
        <w:t>s  pojetím koncepce</w:t>
      </w:r>
      <w:r w:rsidRPr="008D7FCA">
        <w:rPr>
          <w:rFonts w:asciiTheme="minorHAnsi" w:hAnsiTheme="minorHAnsi"/>
          <w:b/>
          <w:sz w:val="22"/>
          <w:szCs w:val="22"/>
        </w:rPr>
        <w:t xml:space="preserve"> </w:t>
      </w:r>
      <w:r w:rsidRPr="008D7FCA">
        <w:rPr>
          <w:rFonts w:asciiTheme="minorHAnsi" w:hAnsiTheme="minorHAnsi"/>
          <w:b/>
          <w:sz w:val="22"/>
          <w:szCs w:val="22"/>
        </w:rPr>
        <w:lastRenderedPageBreak/>
        <w:t>městské zeleně</w:t>
      </w:r>
      <w:r w:rsidRPr="00170BBA">
        <w:rPr>
          <w:rFonts w:asciiTheme="minorHAnsi" w:hAnsiTheme="minorHAnsi"/>
          <w:sz w:val="22"/>
          <w:szCs w:val="22"/>
        </w:rPr>
        <w:t xml:space="preserve"> a  absencí respektu k historickým zahradám a parkům. </w:t>
      </w:r>
      <w:r w:rsidR="008D7FCA">
        <w:rPr>
          <w:rFonts w:asciiTheme="minorHAnsi" w:hAnsiTheme="minorHAnsi"/>
          <w:sz w:val="22"/>
          <w:szCs w:val="22"/>
        </w:rPr>
        <w:t>N</w:t>
      </w:r>
      <w:r w:rsidRPr="00170BBA">
        <w:rPr>
          <w:rFonts w:asciiTheme="minorHAnsi" w:hAnsiTheme="minorHAnsi"/>
          <w:sz w:val="22"/>
          <w:szCs w:val="22"/>
        </w:rPr>
        <w:t xml:space="preserve">epřijatelné </w:t>
      </w:r>
      <w:r w:rsidR="008D7FCA">
        <w:rPr>
          <w:rFonts w:asciiTheme="minorHAnsi" w:hAnsiTheme="minorHAnsi"/>
          <w:sz w:val="22"/>
          <w:szCs w:val="22"/>
        </w:rPr>
        <w:t xml:space="preserve">je </w:t>
      </w:r>
      <w:r w:rsidRPr="00170BBA">
        <w:rPr>
          <w:rFonts w:asciiTheme="minorHAnsi" w:hAnsiTheme="minorHAnsi"/>
          <w:sz w:val="22"/>
          <w:szCs w:val="22"/>
        </w:rPr>
        <w:t xml:space="preserve">uvádění stávajících ploch zeleně na chráněných územích jako ploch transformačních či ploch rozvoje, v jejichž rámci </w:t>
      </w:r>
      <w:r w:rsidRPr="00527D02">
        <w:rPr>
          <w:rFonts w:asciiTheme="minorHAnsi" w:hAnsiTheme="minorHAnsi"/>
          <w:b/>
          <w:sz w:val="22"/>
          <w:szCs w:val="22"/>
        </w:rPr>
        <w:t>je možno do těchto ploch umisťovat budovy</w:t>
      </w:r>
      <w:r w:rsidR="008D7FCA" w:rsidRPr="00527D02">
        <w:rPr>
          <w:rFonts w:asciiTheme="minorHAnsi" w:hAnsiTheme="minorHAnsi"/>
          <w:b/>
          <w:sz w:val="22"/>
          <w:szCs w:val="22"/>
        </w:rPr>
        <w:t>!</w:t>
      </w:r>
    </w:p>
    <w:p w:rsidR="00170BBA" w:rsidRPr="00170BBA" w:rsidRDefault="00170BBA" w:rsidP="00170BBA">
      <w:pPr>
        <w:jc w:val="both"/>
        <w:rPr>
          <w:rFonts w:asciiTheme="minorHAnsi" w:hAnsiTheme="minorHAnsi"/>
          <w:b/>
          <w:bCs/>
          <w:sz w:val="22"/>
          <w:szCs w:val="22"/>
        </w:rPr>
      </w:pPr>
    </w:p>
    <w:p w:rsidR="00170BBA" w:rsidRPr="00645D58" w:rsidRDefault="00170BBA" w:rsidP="00170BBA">
      <w:pPr>
        <w:jc w:val="both"/>
        <w:rPr>
          <w:rFonts w:asciiTheme="minorHAnsi" w:hAnsiTheme="minorHAnsi"/>
          <w:sz w:val="22"/>
          <w:szCs w:val="22"/>
        </w:rPr>
      </w:pPr>
      <w:r w:rsidRPr="00645D58">
        <w:rPr>
          <w:rFonts w:asciiTheme="minorHAnsi" w:hAnsiTheme="minorHAnsi"/>
          <w:bCs/>
          <w:sz w:val="22"/>
          <w:szCs w:val="22"/>
        </w:rPr>
        <w:t>Návrh MP</w:t>
      </w:r>
      <w:r w:rsidRPr="00170BBA">
        <w:rPr>
          <w:rFonts w:asciiTheme="minorHAnsi" w:hAnsiTheme="minorHAnsi"/>
          <w:b/>
          <w:bCs/>
          <w:sz w:val="22"/>
          <w:szCs w:val="22"/>
        </w:rPr>
        <w:t xml:space="preserve"> </w:t>
      </w:r>
      <w:r w:rsidRPr="00170BBA">
        <w:rPr>
          <w:rFonts w:asciiTheme="minorHAnsi" w:hAnsiTheme="minorHAnsi"/>
          <w:bCs/>
          <w:sz w:val="22"/>
          <w:szCs w:val="22"/>
        </w:rPr>
        <w:t>v</w:t>
      </w:r>
      <w:r w:rsidR="00645D58">
        <w:rPr>
          <w:rFonts w:asciiTheme="minorHAnsi" w:hAnsiTheme="minorHAnsi"/>
          <w:bCs/>
          <w:sz w:val="22"/>
          <w:szCs w:val="22"/>
        </w:rPr>
        <w:t xml:space="preserve">ykazuje </w:t>
      </w:r>
      <w:r w:rsidR="00645D58" w:rsidRPr="002D33FE">
        <w:rPr>
          <w:rFonts w:asciiTheme="minorHAnsi" w:hAnsiTheme="minorHAnsi"/>
          <w:b/>
          <w:bCs/>
          <w:sz w:val="22"/>
          <w:szCs w:val="22"/>
        </w:rPr>
        <w:t>závažné nedostatky</w:t>
      </w:r>
      <w:r w:rsidRPr="002D33FE">
        <w:rPr>
          <w:rFonts w:asciiTheme="minorHAnsi" w:hAnsiTheme="minorHAnsi"/>
          <w:b/>
          <w:bCs/>
          <w:sz w:val="22"/>
          <w:szCs w:val="22"/>
        </w:rPr>
        <w:t> a</w:t>
      </w:r>
      <w:r w:rsidRPr="00170BBA">
        <w:rPr>
          <w:rFonts w:asciiTheme="minorHAnsi" w:hAnsiTheme="minorHAnsi"/>
          <w:bCs/>
          <w:sz w:val="22"/>
          <w:szCs w:val="22"/>
        </w:rPr>
        <w:t> </w:t>
      </w:r>
      <w:r w:rsidRPr="00170BBA">
        <w:rPr>
          <w:rFonts w:asciiTheme="minorHAnsi" w:hAnsiTheme="minorHAnsi"/>
          <w:b/>
          <w:bCs/>
          <w:sz w:val="22"/>
          <w:szCs w:val="22"/>
        </w:rPr>
        <w:t>nesoulad se zákonem č. 183/2006 Sb., o územním plánování a stavebním řádu (stavební zákon). Je v nesouladu s</w:t>
      </w:r>
      <w:r w:rsidRPr="00170BBA">
        <w:rPr>
          <w:rFonts w:asciiTheme="minorHAnsi" w:hAnsiTheme="minorHAnsi"/>
          <w:color w:val="000000"/>
          <w:sz w:val="22"/>
          <w:szCs w:val="22"/>
        </w:rPr>
        <w:t xml:space="preserve"> </w:t>
      </w:r>
      <w:r w:rsidRPr="00170BBA">
        <w:rPr>
          <w:rFonts w:asciiTheme="minorHAnsi" w:hAnsiTheme="minorHAnsi"/>
          <w:b/>
          <w:bCs/>
          <w:color w:val="000000"/>
          <w:sz w:val="22"/>
          <w:szCs w:val="22"/>
        </w:rPr>
        <w:t xml:space="preserve">Politikou územního rozvoje ve znění aktualizace č. 1. </w:t>
      </w:r>
      <w:r w:rsidRPr="00170BBA">
        <w:rPr>
          <w:rFonts w:asciiTheme="minorHAnsi" w:hAnsiTheme="minorHAnsi"/>
          <w:bCs/>
          <w:color w:val="000000"/>
          <w:sz w:val="22"/>
          <w:szCs w:val="22"/>
        </w:rPr>
        <w:t>N</w:t>
      </w:r>
      <w:r w:rsidRPr="00170BBA">
        <w:rPr>
          <w:rFonts w:asciiTheme="minorHAnsi" w:hAnsiTheme="minorHAnsi"/>
          <w:color w:val="000000"/>
          <w:sz w:val="22"/>
          <w:szCs w:val="22"/>
        </w:rPr>
        <w:t xml:space="preserve">ení respektován veřejný zájem na ochraně </w:t>
      </w:r>
      <w:r w:rsidRPr="00170BBA">
        <w:rPr>
          <w:rFonts w:asciiTheme="minorHAnsi" w:hAnsiTheme="minorHAnsi"/>
          <w:sz w:val="22"/>
          <w:szCs w:val="22"/>
        </w:rPr>
        <w:t>kulturních hodnot, urbanistického, architektonického a archeologického dědictví, zájem zachovat ráz jedinečné urbanistické struktury území, struktury osídlení a kulturní krajiny, které jsou výrazem identity Prahy, její historie a tradice.</w:t>
      </w:r>
      <w:r w:rsidR="00645D58">
        <w:rPr>
          <w:rFonts w:asciiTheme="minorHAnsi" w:hAnsiTheme="minorHAnsi"/>
          <w:sz w:val="22"/>
          <w:szCs w:val="22"/>
        </w:rPr>
        <w:t xml:space="preserve"> </w:t>
      </w:r>
      <w:r w:rsidRPr="00AD17D7">
        <w:rPr>
          <w:rFonts w:asciiTheme="minorHAnsi" w:hAnsiTheme="minorHAnsi"/>
          <w:sz w:val="22"/>
          <w:szCs w:val="22"/>
        </w:rPr>
        <w:t xml:space="preserve">Návrh MP nevymezuje žádné plochy a koridory, v nichž je podmínkou pro rozhodování </w:t>
      </w:r>
      <w:r w:rsidR="00EE0D23" w:rsidRPr="00AD17D7">
        <w:rPr>
          <w:rFonts w:asciiTheme="minorHAnsi" w:hAnsiTheme="minorHAnsi"/>
          <w:sz w:val="22"/>
          <w:szCs w:val="22"/>
        </w:rPr>
        <w:t>z</w:t>
      </w:r>
      <w:r w:rsidRPr="00AD17D7">
        <w:rPr>
          <w:rFonts w:asciiTheme="minorHAnsi" w:hAnsiTheme="minorHAnsi"/>
          <w:sz w:val="22"/>
          <w:szCs w:val="22"/>
        </w:rPr>
        <w:t>pracování podrobnější územně plánovací dokumentace</w:t>
      </w:r>
      <w:r w:rsidR="008D7FCA" w:rsidRPr="00AD17D7">
        <w:rPr>
          <w:rStyle w:val="Znakapoznpodarou"/>
          <w:rFonts w:asciiTheme="minorHAnsi" w:hAnsiTheme="minorHAnsi"/>
          <w:sz w:val="22"/>
          <w:szCs w:val="22"/>
        </w:rPr>
        <w:footnoteReference w:id="8"/>
      </w:r>
      <w:r w:rsidR="00EE0D23" w:rsidRPr="00AD17D7">
        <w:rPr>
          <w:rFonts w:asciiTheme="minorHAnsi" w:hAnsiTheme="minorHAnsi"/>
          <w:sz w:val="22"/>
          <w:szCs w:val="22"/>
        </w:rPr>
        <w:t>, které</w:t>
      </w:r>
      <w:r w:rsidRPr="00AD17D7">
        <w:rPr>
          <w:rFonts w:asciiTheme="minorHAnsi" w:hAnsiTheme="minorHAnsi"/>
          <w:sz w:val="22"/>
          <w:szCs w:val="22"/>
        </w:rPr>
        <w:t xml:space="preserve"> je pro prověření možnosti rozvojových a transformačních ploch zásadní</w:t>
      </w:r>
      <w:r w:rsidR="00EE0D23" w:rsidRPr="00AD17D7">
        <w:rPr>
          <w:rFonts w:asciiTheme="minorHAnsi" w:hAnsiTheme="minorHAnsi"/>
          <w:sz w:val="22"/>
          <w:szCs w:val="22"/>
        </w:rPr>
        <w:t xml:space="preserve">. </w:t>
      </w:r>
      <w:r w:rsidR="00645D58" w:rsidRPr="00AD17D7">
        <w:rPr>
          <w:rFonts w:asciiTheme="minorHAnsi" w:hAnsiTheme="minorHAnsi"/>
          <w:sz w:val="22"/>
          <w:szCs w:val="22"/>
        </w:rPr>
        <w:t xml:space="preserve">NPÚ </w:t>
      </w:r>
      <w:r w:rsidR="00EE0D23" w:rsidRPr="00AD17D7">
        <w:rPr>
          <w:rFonts w:asciiTheme="minorHAnsi" w:hAnsiTheme="minorHAnsi"/>
          <w:sz w:val="22"/>
          <w:szCs w:val="22"/>
        </w:rPr>
        <w:t>to považuje za</w:t>
      </w:r>
      <w:r w:rsidRPr="00AD17D7">
        <w:rPr>
          <w:rFonts w:asciiTheme="minorHAnsi" w:hAnsiTheme="minorHAnsi"/>
          <w:sz w:val="22"/>
          <w:szCs w:val="22"/>
        </w:rPr>
        <w:t xml:space="preserve"> nepochopení principů územního plánování a pochybení v nastavení koncepce řešení takto významné dokumentace.</w:t>
      </w:r>
    </w:p>
    <w:p w:rsidR="00170BBA" w:rsidRPr="00170BBA" w:rsidRDefault="00170BBA" w:rsidP="00170BBA">
      <w:pPr>
        <w:jc w:val="both"/>
        <w:rPr>
          <w:rFonts w:asciiTheme="minorHAnsi" w:hAnsiTheme="minorHAnsi"/>
          <w:b/>
          <w:bCs/>
          <w:sz w:val="22"/>
          <w:szCs w:val="22"/>
        </w:rPr>
      </w:pPr>
    </w:p>
    <w:p w:rsidR="00170BBA" w:rsidRPr="00170BBA" w:rsidRDefault="00170BBA" w:rsidP="00170BBA">
      <w:pPr>
        <w:jc w:val="both"/>
        <w:rPr>
          <w:rFonts w:asciiTheme="minorHAnsi" w:hAnsiTheme="minorHAnsi"/>
          <w:sz w:val="22"/>
          <w:szCs w:val="22"/>
        </w:rPr>
      </w:pPr>
      <w:r w:rsidRPr="002D33FE">
        <w:rPr>
          <w:rFonts w:asciiTheme="minorHAnsi" w:hAnsiTheme="minorHAnsi"/>
          <w:bCs/>
          <w:sz w:val="22"/>
          <w:szCs w:val="22"/>
        </w:rPr>
        <w:t xml:space="preserve">Návrh MP </w:t>
      </w:r>
      <w:r w:rsidR="002D33FE" w:rsidRPr="002D33FE">
        <w:rPr>
          <w:rFonts w:asciiTheme="minorHAnsi" w:hAnsiTheme="minorHAnsi"/>
          <w:b/>
          <w:bCs/>
          <w:sz w:val="22"/>
          <w:szCs w:val="22"/>
        </w:rPr>
        <w:t>je</w:t>
      </w:r>
      <w:r w:rsidR="002D33FE">
        <w:rPr>
          <w:rFonts w:asciiTheme="minorHAnsi" w:hAnsiTheme="minorHAnsi"/>
          <w:b/>
          <w:bCs/>
          <w:sz w:val="22"/>
          <w:szCs w:val="22"/>
        </w:rPr>
        <w:t xml:space="preserve"> v</w:t>
      </w:r>
      <w:r w:rsidRPr="00170BBA">
        <w:rPr>
          <w:rFonts w:asciiTheme="minorHAnsi" w:hAnsiTheme="minorHAnsi"/>
          <w:b/>
          <w:bCs/>
          <w:sz w:val="22"/>
          <w:szCs w:val="22"/>
        </w:rPr>
        <w:t> nesouladu se</w:t>
      </w:r>
      <w:r w:rsidRPr="00170BBA">
        <w:rPr>
          <w:rFonts w:asciiTheme="minorHAnsi" w:hAnsiTheme="minorHAnsi"/>
          <w:color w:val="000000"/>
          <w:sz w:val="22"/>
          <w:szCs w:val="22"/>
        </w:rPr>
        <w:t xml:space="preserve"> </w:t>
      </w:r>
      <w:r w:rsidRPr="00170BBA">
        <w:rPr>
          <w:rFonts w:asciiTheme="minorHAnsi" w:hAnsiTheme="minorHAnsi"/>
          <w:b/>
          <w:bCs/>
          <w:color w:val="000000"/>
          <w:sz w:val="22"/>
          <w:szCs w:val="22"/>
        </w:rPr>
        <w:t>Zásadami územního rozvoje hl. m. Prahy</w:t>
      </w:r>
      <w:r w:rsidRPr="00170BBA">
        <w:rPr>
          <w:rStyle w:val="Znakapoznpodarou"/>
          <w:rFonts w:asciiTheme="minorHAnsi" w:hAnsiTheme="minorHAnsi"/>
          <w:b/>
          <w:bCs/>
          <w:color w:val="000000"/>
          <w:sz w:val="22"/>
          <w:szCs w:val="22"/>
        </w:rPr>
        <w:footnoteReference w:id="9"/>
      </w:r>
      <w:r w:rsidRPr="00170BBA">
        <w:rPr>
          <w:rFonts w:asciiTheme="minorHAnsi" w:hAnsiTheme="minorHAnsi"/>
          <w:color w:val="000000"/>
          <w:sz w:val="22"/>
          <w:szCs w:val="22"/>
        </w:rPr>
        <w:t xml:space="preserve">, </w:t>
      </w:r>
      <w:r w:rsidRPr="002D33FE">
        <w:rPr>
          <w:rFonts w:asciiTheme="minorHAnsi" w:hAnsiTheme="minorHAnsi"/>
          <w:b/>
          <w:color w:val="000000"/>
          <w:sz w:val="22"/>
          <w:szCs w:val="22"/>
        </w:rPr>
        <w:t>jako nadřazené územně plánovací dokumentace.</w:t>
      </w:r>
      <w:r w:rsidRPr="00170BBA">
        <w:rPr>
          <w:rFonts w:asciiTheme="minorHAnsi" w:hAnsiTheme="minorHAnsi"/>
          <w:color w:val="000000"/>
          <w:sz w:val="22"/>
          <w:szCs w:val="22"/>
        </w:rPr>
        <w:t xml:space="preserve"> N</w:t>
      </w:r>
      <w:r w:rsidR="00EE0D23">
        <w:rPr>
          <w:rFonts w:asciiTheme="minorHAnsi" w:hAnsiTheme="minorHAnsi"/>
          <w:color w:val="000000"/>
          <w:sz w:val="22"/>
          <w:szCs w:val="22"/>
        </w:rPr>
        <w:t>ávrh MP n</w:t>
      </w:r>
      <w:r w:rsidRPr="00170BBA">
        <w:rPr>
          <w:rFonts w:asciiTheme="minorHAnsi" w:hAnsiTheme="minorHAnsi"/>
          <w:color w:val="000000"/>
          <w:sz w:val="22"/>
          <w:szCs w:val="22"/>
        </w:rPr>
        <w:t>e</w:t>
      </w:r>
      <w:r w:rsidRPr="00170BBA">
        <w:rPr>
          <w:rFonts w:asciiTheme="minorHAnsi" w:hAnsiTheme="minorHAnsi"/>
          <w:sz w:val="22"/>
          <w:szCs w:val="22"/>
        </w:rPr>
        <w:t>zajiš</w:t>
      </w:r>
      <w:r w:rsidR="00EE0D23">
        <w:rPr>
          <w:rFonts w:asciiTheme="minorHAnsi" w:hAnsiTheme="minorHAnsi"/>
          <w:sz w:val="22"/>
          <w:szCs w:val="22"/>
        </w:rPr>
        <w:t>ťuje</w:t>
      </w:r>
      <w:r w:rsidRPr="00170BBA">
        <w:rPr>
          <w:rFonts w:asciiTheme="minorHAnsi" w:hAnsiTheme="minorHAnsi"/>
          <w:sz w:val="22"/>
          <w:szCs w:val="22"/>
        </w:rPr>
        <w:t xml:space="preserve"> podmínky pro ochranu Pražské památkové rezervace a jejího ochranného pásma, ani pro ochranu dalších rezervací, památkových zón, </w:t>
      </w:r>
      <w:r w:rsidR="00EE0D23">
        <w:rPr>
          <w:rFonts w:asciiTheme="minorHAnsi" w:hAnsiTheme="minorHAnsi"/>
          <w:sz w:val="22"/>
          <w:szCs w:val="22"/>
        </w:rPr>
        <w:t xml:space="preserve">chráněných </w:t>
      </w:r>
      <w:r w:rsidRPr="00170BBA">
        <w:rPr>
          <w:rFonts w:asciiTheme="minorHAnsi" w:hAnsiTheme="minorHAnsi"/>
          <w:sz w:val="22"/>
          <w:szCs w:val="22"/>
        </w:rPr>
        <w:t xml:space="preserve">památkových souborů a objektů </w:t>
      </w:r>
      <w:r w:rsidR="00EE0D23">
        <w:rPr>
          <w:rFonts w:asciiTheme="minorHAnsi" w:hAnsiTheme="minorHAnsi"/>
          <w:sz w:val="22"/>
          <w:szCs w:val="22"/>
        </w:rPr>
        <w:t xml:space="preserve">ani </w:t>
      </w:r>
      <w:r w:rsidRPr="00170BBA">
        <w:rPr>
          <w:rFonts w:asciiTheme="minorHAnsi" w:hAnsiTheme="minorHAnsi"/>
          <w:sz w:val="22"/>
          <w:szCs w:val="22"/>
        </w:rPr>
        <w:t>podmínky pro ochranu archeologického dědictví</w:t>
      </w:r>
      <w:r w:rsidR="00EE0D23">
        <w:rPr>
          <w:rFonts w:asciiTheme="minorHAnsi" w:hAnsiTheme="minorHAnsi"/>
          <w:sz w:val="22"/>
          <w:szCs w:val="22"/>
        </w:rPr>
        <w:t xml:space="preserve"> </w:t>
      </w:r>
      <w:r w:rsidR="00EE0D23" w:rsidRPr="00170BBA">
        <w:rPr>
          <w:rFonts w:asciiTheme="minorHAnsi" w:hAnsiTheme="minorHAnsi"/>
          <w:sz w:val="22"/>
          <w:szCs w:val="22"/>
        </w:rPr>
        <w:t xml:space="preserve">území </w:t>
      </w:r>
      <w:r w:rsidR="00EE0D23">
        <w:rPr>
          <w:rFonts w:asciiTheme="minorHAnsi" w:hAnsiTheme="minorHAnsi"/>
          <w:sz w:val="22"/>
          <w:szCs w:val="22"/>
        </w:rPr>
        <w:t>Prahy.</w:t>
      </w:r>
    </w:p>
    <w:p w:rsidR="00170BBA" w:rsidRPr="00170BBA" w:rsidRDefault="00170BBA" w:rsidP="00170BBA">
      <w:pPr>
        <w:autoSpaceDE w:val="0"/>
        <w:autoSpaceDN w:val="0"/>
        <w:adjustRightInd w:val="0"/>
        <w:jc w:val="both"/>
        <w:rPr>
          <w:rFonts w:asciiTheme="minorHAnsi" w:hAnsiTheme="minorHAnsi"/>
          <w:sz w:val="22"/>
          <w:szCs w:val="22"/>
        </w:rPr>
      </w:pPr>
    </w:p>
    <w:p w:rsidR="00170BBA" w:rsidRPr="00170BBA" w:rsidRDefault="00170BBA" w:rsidP="00170BBA">
      <w:pPr>
        <w:jc w:val="both"/>
        <w:rPr>
          <w:rFonts w:asciiTheme="minorHAnsi" w:hAnsiTheme="minorHAnsi"/>
          <w:sz w:val="22"/>
          <w:szCs w:val="22"/>
        </w:rPr>
      </w:pPr>
      <w:r w:rsidRPr="002D33FE">
        <w:rPr>
          <w:rFonts w:asciiTheme="minorHAnsi" w:hAnsiTheme="minorHAnsi"/>
          <w:bCs/>
          <w:color w:val="000000"/>
          <w:sz w:val="22"/>
          <w:szCs w:val="22"/>
        </w:rPr>
        <w:t>Návrh MP</w:t>
      </w:r>
      <w:r w:rsidRPr="00170BBA">
        <w:rPr>
          <w:rFonts w:asciiTheme="minorHAnsi" w:hAnsiTheme="minorHAnsi"/>
          <w:b/>
          <w:bCs/>
          <w:color w:val="000000"/>
          <w:sz w:val="22"/>
          <w:szCs w:val="22"/>
        </w:rPr>
        <w:t xml:space="preserve"> </w:t>
      </w:r>
      <w:r w:rsidRPr="00170BBA">
        <w:rPr>
          <w:rFonts w:asciiTheme="minorHAnsi" w:hAnsiTheme="minorHAnsi"/>
          <w:b/>
          <w:bCs/>
          <w:sz w:val="22"/>
          <w:szCs w:val="22"/>
        </w:rPr>
        <w:t>nerespektuje Politiku architektury a stavební kultury České republiky</w:t>
      </w:r>
      <w:r w:rsidRPr="00170BBA">
        <w:rPr>
          <w:rStyle w:val="Znakapoznpodarou"/>
          <w:rFonts w:asciiTheme="minorHAnsi" w:hAnsiTheme="minorHAnsi"/>
          <w:b/>
          <w:bCs/>
          <w:sz w:val="22"/>
          <w:szCs w:val="22"/>
        </w:rPr>
        <w:footnoteReference w:id="10"/>
      </w:r>
      <w:r w:rsidRPr="00170BBA">
        <w:rPr>
          <w:rFonts w:asciiTheme="minorHAnsi" w:hAnsiTheme="minorHAnsi"/>
          <w:sz w:val="22"/>
          <w:szCs w:val="22"/>
        </w:rPr>
        <w:t>, koncepčního strategického dokumentu s celostátní působností</w:t>
      </w:r>
      <w:r w:rsidRPr="00170BBA">
        <w:rPr>
          <w:rStyle w:val="Znakapoznpodarou"/>
          <w:rFonts w:asciiTheme="minorHAnsi" w:hAnsiTheme="minorHAnsi"/>
          <w:sz w:val="22"/>
          <w:szCs w:val="22"/>
        </w:rPr>
        <w:footnoteReference w:id="11"/>
      </w:r>
      <w:r w:rsidRPr="00170BBA">
        <w:rPr>
          <w:rFonts w:asciiTheme="minorHAnsi" w:hAnsiTheme="minorHAnsi"/>
          <w:sz w:val="22"/>
          <w:szCs w:val="22"/>
        </w:rPr>
        <w:t>.</w:t>
      </w:r>
    </w:p>
    <w:p w:rsidR="00170BBA" w:rsidRPr="00170BBA" w:rsidRDefault="00170BBA" w:rsidP="00170BBA">
      <w:pPr>
        <w:jc w:val="both"/>
        <w:rPr>
          <w:rFonts w:asciiTheme="minorHAnsi" w:hAnsiTheme="minorHAnsi"/>
          <w:sz w:val="22"/>
          <w:szCs w:val="22"/>
        </w:rPr>
      </w:pPr>
    </w:p>
    <w:p w:rsidR="00A17C22" w:rsidRPr="00F8616F" w:rsidRDefault="00170BBA" w:rsidP="00C65E7A">
      <w:pPr>
        <w:jc w:val="both"/>
        <w:rPr>
          <w:rFonts w:asciiTheme="minorHAnsi" w:hAnsiTheme="minorHAnsi"/>
          <w:sz w:val="22"/>
          <w:szCs w:val="22"/>
        </w:rPr>
      </w:pPr>
      <w:r w:rsidRPr="00170BBA">
        <w:rPr>
          <w:rFonts w:asciiTheme="minorHAnsi" w:hAnsiTheme="minorHAnsi"/>
          <w:b/>
          <w:bCs/>
          <w:sz w:val="22"/>
          <w:szCs w:val="22"/>
        </w:rPr>
        <w:t>NPÚ má také zásadní připomínky k vlastnímu zpracování návrhu MP</w:t>
      </w:r>
      <w:r w:rsidRPr="00170BBA">
        <w:rPr>
          <w:rFonts w:asciiTheme="minorHAnsi" w:hAnsiTheme="minorHAnsi"/>
          <w:bCs/>
          <w:sz w:val="22"/>
          <w:szCs w:val="22"/>
        </w:rPr>
        <w:t>.</w:t>
      </w:r>
      <w:r w:rsidRPr="00170BBA">
        <w:rPr>
          <w:rFonts w:asciiTheme="minorHAnsi" w:hAnsiTheme="minorHAnsi"/>
          <w:b/>
          <w:bCs/>
          <w:sz w:val="22"/>
          <w:szCs w:val="22"/>
        </w:rPr>
        <w:t xml:space="preserve"> </w:t>
      </w:r>
      <w:r w:rsidRPr="00170BBA">
        <w:rPr>
          <w:rFonts w:asciiTheme="minorHAnsi" w:hAnsiTheme="minorHAnsi"/>
          <w:bCs/>
          <w:sz w:val="22"/>
          <w:szCs w:val="22"/>
        </w:rPr>
        <w:t>Ten</w:t>
      </w:r>
      <w:r w:rsidRPr="00170BBA">
        <w:rPr>
          <w:rFonts w:asciiTheme="minorHAnsi" w:hAnsiTheme="minorHAnsi"/>
          <w:b/>
          <w:bCs/>
          <w:sz w:val="22"/>
          <w:szCs w:val="22"/>
        </w:rPr>
        <w:t xml:space="preserve"> </w:t>
      </w:r>
      <w:r w:rsidRPr="00170BBA">
        <w:rPr>
          <w:rFonts w:asciiTheme="minorHAnsi" w:hAnsiTheme="minorHAnsi"/>
          <w:sz w:val="22"/>
          <w:szCs w:val="22"/>
        </w:rPr>
        <w:t>byl sice zpracován v podrobnosti katastrální mapy (stav 2015), není však k dispozici na Geoportálu Prahy</w:t>
      </w:r>
      <w:r w:rsidRPr="00170BBA">
        <w:rPr>
          <w:rStyle w:val="Znakapoznpodarou"/>
          <w:rFonts w:asciiTheme="minorHAnsi" w:hAnsiTheme="minorHAnsi"/>
          <w:sz w:val="22"/>
          <w:szCs w:val="22"/>
        </w:rPr>
        <w:footnoteReference w:id="12"/>
      </w:r>
      <w:r w:rsidRPr="00170BBA">
        <w:rPr>
          <w:rFonts w:asciiTheme="minorHAnsi" w:hAnsiTheme="minorHAnsi"/>
          <w:sz w:val="22"/>
          <w:szCs w:val="22"/>
        </w:rPr>
        <w:t xml:space="preserve">. Ověření a identifikace jednotlivé pozemků je tím znemožněna, což může znejistit vypořádání konkrétních připomínek. Návrh </w:t>
      </w:r>
      <w:r w:rsidR="00EE0D23">
        <w:rPr>
          <w:rFonts w:asciiTheme="minorHAnsi" w:hAnsiTheme="minorHAnsi"/>
          <w:sz w:val="22"/>
          <w:szCs w:val="22"/>
        </w:rPr>
        <w:t>není</w:t>
      </w:r>
      <w:r w:rsidRPr="00170BBA">
        <w:rPr>
          <w:rFonts w:asciiTheme="minorHAnsi" w:hAnsiTheme="minorHAnsi"/>
          <w:sz w:val="22"/>
          <w:szCs w:val="22"/>
        </w:rPr>
        <w:t xml:space="preserve"> zpracován běžn</w:t>
      </w:r>
      <w:r w:rsidR="00EE0D23">
        <w:rPr>
          <w:rFonts w:asciiTheme="minorHAnsi" w:hAnsiTheme="minorHAnsi"/>
          <w:sz w:val="22"/>
          <w:szCs w:val="22"/>
        </w:rPr>
        <w:t>ou</w:t>
      </w:r>
      <w:r w:rsidRPr="00170BBA">
        <w:rPr>
          <w:rFonts w:asciiTheme="minorHAnsi" w:hAnsiTheme="minorHAnsi"/>
          <w:sz w:val="22"/>
          <w:szCs w:val="22"/>
        </w:rPr>
        <w:t xml:space="preserve"> a zažit</w:t>
      </w:r>
      <w:r w:rsidR="00EE0D23">
        <w:rPr>
          <w:rFonts w:asciiTheme="minorHAnsi" w:hAnsiTheme="minorHAnsi"/>
          <w:sz w:val="22"/>
          <w:szCs w:val="22"/>
        </w:rPr>
        <w:t>ou</w:t>
      </w:r>
      <w:r w:rsidRPr="00170BBA">
        <w:rPr>
          <w:rFonts w:asciiTheme="minorHAnsi" w:hAnsiTheme="minorHAnsi"/>
          <w:sz w:val="22"/>
          <w:szCs w:val="22"/>
        </w:rPr>
        <w:t xml:space="preserve"> form</w:t>
      </w:r>
      <w:r w:rsidR="00EE0D23">
        <w:rPr>
          <w:rFonts w:asciiTheme="minorHAnsi" w:hAnsiTheme="minorHAnsi"/>
          <w:sz w:val="22"/>
          <w:szCs w:val="22"/>
        </w:rPr>
        <w:t>ou</w:t>
      </w:r>
      <w:r w:rsidRPr="00170BBA">
        <w:rPr>
          <w:rFonts w:asciiTheme="minorHAnsi" w:hAnsiTheme="minorHAnsi"/>
          <w:sz w:val="22"/>
          <w:szCs w:val="22"/>
        </w:rPr>
        <w:t xml:space="preserve"> tvorby územně plánovací dokumentace dle stavebního zákona. </w:t>
      </w:r>
      <w:r w:rsidR="00EE0D23">
        <w:rPr>
          <w:rFonts w:asciiTheme="minorHAnsi" w:hAnsiTheme="minorHAnsi"/>
          <w:sz w:val="22"/>
          <w:szCs w:val="22"/>
        </w:rPr>
        <w:t>Zvolený</w:t>
      </w:r>
      <w:r w:rsidRPr="00170BBA">
        <w:rPr>
          <w:rFonts w:asciiTheme="minorHAnsi" w:hAnsiTheme="minorHAnsi"/>
          <w:sz w:val="22"/>
          <w:szCs w:val="22"/>
        </w:rPr>
        <w:t xml:space="preserve"> přístup, </w:t>
      </w:r>
      <w:r w:rsidR="00EE0D23">
        <w:rPr>
          <w:rFonts w:asciiTheme="minorHAnsi" w:hAnsiTheme="minorHAnsi"/>
          <w:sz w:val="22"/>
          <w:szCs w:val="22"/>
        </w:rPr>
        <w:t xml:space="preserve">mnohé </w:t>
      </w:r>
      <w:r w:rsidRPr="00170BBA">
        <w:rPr>
          <w:rFonts w:asciiTheme="minorHAnsi" w:hAnsiTheme="minorHAnsi"/>
          <w:sz w:val="22"/>
          <w:szCs w:val="22"/>
        </w:rPr>
        <w:t>nově vytvořené a v praxi „nezažité“ názvosloví je matoucí a nepřehledn</w:t>
      </w:r>
      <w:r w:rsidR="00A17C22">
        <w:rPr>
          <w:rFonts w:asciiTheme="minorHAnsi" w:hAnsiTheme="minorHAnsi"/>
          <w:sz w:val="22"/>
          <w:szCs w:val="22"/>
        </w:rPr>
        <w:t>é</w:t>
      </w:r>
      <w:r w:rsidRPr="00170BBA">
        <w:rPr>
          <w:rFonts w:asciiTheme="minorHAnsi" w:hAnsiTheme="minorHAnsi"/>
          <w:sz w:val="22"/>
          <w:szCs w:val="22"/>
        </w:rPr>
        <w:t xml:space="preserve">. </w:t>
      </w:r>
      <w:r w:rsidRPr="002D33FE">
        <w:rPr>
          <w:rFonts w:asciiTheme="minorHAnsi" w:hAnsiTheme="minorHAnsi"/>
          <w:sz w:val="22"/>
          <w:szCs w:val="22"/>
        </w:rPr>
        <w:t>Nejednoznačnost výkladů může v budoucnu vést k nepřezkoumatelnosti a následně až k právní nejistotě.</w:t>
      </w:r>
      <w:r w:rsidR="002D33FE">
        <w:rPr>
          <w:rFonts w:asciiTheme="minorHAnsi" w:hAnsiTheme="minorHAnsi"/>
          <w:sz w:val="22"/>
          <w:szCs w:val="22"/>
        </w:rPr>
        <w:t xml:space="preserve"> </w:t>
      </w:r>
      <w:r w:rsidRPr="00170BBA">
        <w:rPr>
          <w:rFonts w:asciiTheme="minorHAnsi" w:hAnsiTheme="minorHAnsi"/>
          <w:sz w:val="22"/>
          <w:szCs w:val="22"/>
        </w:rPr>
        <w:t>Dokumentace vykazuje řadu formálních chyb a nepřesností</w:t>
      </w:r>
      <w:r w:rsidR="00A17C22">
        <w:rPr>
          <w:rFonts w:asciiTheme="minorHAnsi" w:hAnsiTheme="minorHAnsi"/>
          <w:sz w:val="22"/>
          <w:szCs w:val="22"/>
        </w:rPr>
        <w:t>: s</w:t>
      </w:r>
      <w:r w:rsidR="00A17C22" w:rsidRPr="00170BBA">
        <w:rPr>
          <w:rFonts w:asciiTheme="minorHAnsi" w:hAnsiTheme="minorHAnsi"/>
          <w:sz w:val="22"/>
          <w:szCs w:val="22"/>
        </w:rPr>
        <w:t>tránky nejsou číslovány</w:t>
      </w:r>
      <w:r w:rsidR="00A17C22">
        <w:rPr>
          <w:rFonts w:asciiTheme="minorHAnsi" w:hAnsiTheme="minorHAnsi"/>
          <w:sz w:val="22"/>
          <w:szCs w:val="22"/>
        </w:rPr>
        <w:t>, n</w:t>
      </w:r>
      <w:r w:rsidRPr="00170BBA">
        <w:rPr>
          <w:rFonts w:asciiTheme="minorHAnsi" w:hAnsiTheme="minorHAnsi"/>
          <w:sz w:val="22"/>
          <w:szCs w:val="22"/>
        </w:rPr>
        <w:t>ěkteré výroky nejsou řádně odůvodněny</w:t>
      </w:r>
      <w:r w:rsidR="00A17C22">
        <w:rPr>
          <w:rFonts w:asciiTheme="minorHAnsi" w:hAnsiTheme="minorHAnsi"/>
          <w:sz w:val="22"/>
          <w:szCs w:val="22"/>
        </w:rPr>
        <w:t>;</w:t>
      </w:r>
      <w:r w:rsidRPr="00170BBA">
        <w:rPr>
          <w:rFonts w:asciiTheme="minorHAnsi" w:hAnsiTheme="minorHAnsi"/>
          <w:sz w:val="22"/>
          <w:szCs w:val="22"/>
        </w:rPr>
        <w:t xml:space="preserve"> </w:t>
      </w:r>
      <w:r w:rsidR="00A17C22">
        <w:rPr>
          <w:rFonts w:asciiTheme="minorHAnsi" w:hAnsiTheme="minorHAnsi"/>
          <w:sz w:val="22"/>
          <w:szCs w:val="22"/>
        </w:rPr>
        <w:t>ř</w:t>
      </w:r>
      <w:r w:rsidRPr="00170BBA">
        <w:rPr>
          <w:rFonts w:asciiTheme="minorHAnsi" w:hAnsiTheme="minorHAnsi"/>
          <w:sz w:val="22"/>
          <w:szCs w:val="22"/>
        </w:rPr>
        <w:t xml:space="preserve">ada ploch, uvedených jako návrhové, jsou ve skutečnosti plochami stávajícího stavu. </w:t>
      </w:r>
      <w:r w:rsidR="00A17C22">
        <w:rPr>
          <w:rFonts w:asciiTheme="minorHAnsi" w:hAnsiTheme="minorHAnsi"/>
          <w:sz w:val="22"/>
          <w:szCs w:val="22"/>
        </w:rPr>
        <w:t>Bez</w:t>
      </w:r>
      <w:r w:rsidRPr="00170BBA">
        <w:rPr>
          <w:rFonts w:asciiTheme="minorHAnsi" w:hAnsiTheme="minorHAnsi"/>
          <w:sz w:val="22"/>
          <w:szCs w:val="22"/>
        </w:rPr>
        <w:t xml:space="preserve"> jednoznačné identifik</w:t>
      </w:r>
      <w:r w:rsidR="00A17C22">
        <w:rPr>
          <w:rFonts w:asciiTheme="minorHAnsi" w:hAnsiTheme="minorHAnsi"/>
          <w:sz w:val="22"/>
          <w:szCs w:val="22"/>
        </w:rPr>
        <w:t xml:space="preserve">ace </w:t>
      </w:r>
      <w:r w:rsidRPr="00170BBA">
        <w:rPr>
          <w:rFonts w:asciiTheme="minorHAnsi" w:hAnsiTheme="minorHAnsi"/>
          <w:sz w:val="22"/>
          <w:szCs w:val="22"/>
        </w:rPr>
        <w:t>je dokumentace zmatečná.</w:t>
      </w:r>
      <w:r w:rsidR="002D33FE">
        <w:rPr>
          <w:rFonts w:asciiTheme="minorHAnsi" w:hAnsiTheme="minorHAnsi"/>
          <w:sz w:val="22"/>
          <w:szCs w:val="22"/>
        </w:rPr>
        <w:t xml:space="preserve"> </w:t>
      </w:r>
      <w:r w:rsidRPr="00170BBA">
        <w:rPr>
          <w:rFonts w:asciiTheme="minorHAnsi" w:hAnsiTheme="minorHAnsi"/>
          <w:sz w:val="22"/>
          <w:szCs w:val="22"/>
        </w:rPr>
        <w:t>Návrhové, transformační a rozvojové plochy MP jsou naddimenzované</w:t>
      </w:r>
      <w:r w:rsidR="00A17C22">
        <w:rPr>
          <w:rFonts w:asciiTheme="minorHAnsi" w:hAnsiTheme="minorHAnsi"/>
          <w:sz w:val="22"/>
          <w:szCs w:val="22"/>
        </w:rPr>
        <w:t>,</w:t>
      </w:r>
      <w:r w:rsidRPr="00170BBA">
        <w:rPr>
          <w:rFonts w:asciiTheme="minorHAnsi" w:hAnsiTheme="minorHAnsi"/>
          <w:sz w:val="22"/>
          <w:szCs w:val="22"/>
        </w:rPr>
        <w:t xml:space="preserve"> porušují poměr zastavěných a nezastavěných ploch, </w:t>
      </w:r>
      <w:r w:rsidR="00A17C22">
        <w:rPr>
          <w:rFonts w:asciiTheme="minorHAnsi" w:hAnsiTheme="minorHAnsi"/>
          <w:sz w:val="22"/>
          <w:szCs w:val="22"/>
        </w:rPr>
        <w:t>a do budoucna ne</w:t>
      </w:r>
      <w:r w:rsidRPr="00170BBA">
        <w:rPr>
          <w:rFonts w:asciiTheme="minorHAnsi" w:hAnsiTheme="minorHAnsi"/>
          <w:sz w:val="22"/>
          <w:szCs w:val="22"/>
        </w:rPr>
        <w:t>umož</w:t>
      </w:r>
      <w:r w:rsidR="00A17C22">
        <w:rPr>
          <w:rFonts w:asciiTheme="minorHAnsi" w:hAnsiTheme="minorHAnsi"/>
          <w:sz w:val="22"/>
          <w:szCs w:val="22"/>
        </w:rPr>
        <w:t>ní</w:t>
      </w:r>
      <w:r w:rsidRPr="00170BBA">
        <w:rPr>
          <w:rFonts w:asciiTheme="minorHAnsi" w:hAnsiTheme="minorHAnsi"/>
          <w:sz w:val="22"/>
          <w:szCs w:val="22"/>
        </w:rPr>
        <w:t xml:space="preserve"> žádoucí fungování města</w:t>
      </w:r>
      <w:r w:rsidR="00527D02">
        <w:rPr>
          <w:rFonts w:asciiTheme="minorHAnsi" w:hAnsiTheme="minorHAnsi"/>
          <w:sz w:val="22"/>
          <w:szCs w:val="22"/>
        </w:rPr>
        <w:t xml:space="preserve">, při čemž </w:t>
      </w:r>
      <w:r w:rsidRPr="00170BBA">
        <w:rPr>
          <w:rFonts w:asciiTheme="minorHAnsi" w:hAnsiTheme="minorHAnsi"/>
          <w:sz w:val="22"/>
          <w:szCs w:val="22"/>
        </w:rPr>
        <w:t xml:space="preserve">rozsah těchto ploch </w:t>
      </w:r>
      <w:r w:rsidRPr="002D33FE">
        <w:rPr>
          <w:rFonts w:asciiTheme="minorHAnsi" w:hAnsiTheme="minorHAnsi"/>
          <w:sz w:val="22"/>
          <w:szCs w:val="22"/>
        </w:rPr>
        <w:t>není podložen demografickým vývojem, ani žádnou relevantní rozvahou.</w:t>
      </w:r>
    </w:p>
    <w:p w:rsidR="00A17C22" w:rsidRDefault="00A17C22" w:rsidP="00C65E7A">
      <w:pPr>
        <w:jc w:val="both"/>
        <w:rPr>
          <w:rFonts w:asciiTheme="minorHAnsi" w:hAnsiTheme="minorHAnsi"/>
          <w:kern w:val="1"/>
          <w:sz w:val="22"/>
          <w:szCs w:val="22"/>
        </w:rPr>
      </w:pPr>
    </w:p>
    <w:p w:rsidR="009F5225" w:rsidRPr="00E94305" w:rsidRDefault="00B31465" w:rsidP="00E94305">
      <w:pPr>
        <w:pBdr>
          <w:bottom w:val="single" w:sz="6" w:space="0" w:color="auto"/>
        </w:pBdr>
        <w:jc w:val="both"/>
        <w:rPr>
          <w:rFonts w:asciiTheme="minorHAnsi" w:hAnsiTheme="minorHAnsi" w:cstheme="minorHAnsi"/>
          <w:sz w:val="20"/>
          <w:szCs w:val="20"/>
        </w:rPr>
      </w:pPr>
      <w:r w:rsidRPr="00457749">
        <w:rPr>
          <w:rFonts w:asciiTheme="minorHAnsi" w:hAnsiTheme="minorHAnsi" w:cstheme="minorHAnsi"/>
          <w:b/>
          <w:sz w:val="20"/>
          <w:szCs w:val="20"/>
        </w:rPr>
        <w:t>Národní památkový ústav</w:t>
      </w:r>
      <w:r w:rsidRPr="00457749">
        <w:rPr>
          <w:rFonts w:asciiTheme="minorHAnsi" w:hAnsiTheme="minorHAnsi" w:cstheme="minorHAnsi"/>
          <w:sz w:val="20"/>
          <w:szCs w:val="20"/>
        </w:rPr>
        <w:t xml:space="preserve"> </w:t>
      </w:r>
      <w:r w:rsidR="0053107C" w:rsidRPr="00457749">
        <w:rPr>
          <w:rFonts w:asciiTheme="minorHAnsi" w:hAnsiTheme="minorHAnsi"/>
          <w:sz w:val="20"/>
          <w:szCs w:val="20"/>
        </w:rPr>
        <w:t>patří mezi nejvýznamnější paměťové instituce v Č</w:t>
      </w:r>
      <w:r w:rsidR="00A17C22">
        <w:rPr>
          <w:rFonts w:asciiTheme="minorHAnsi" w:hAnsiTheme="minorHAnsi"/>
          <w:sz w:val="20"/>
          <w:szCs w:val="20"/>
        </w:rPr>
        <w:t>R</w:t>
      </w:r>
      <w:r w:rsidR="0053107C" w:rsidRPr="00457749">
        <w:rPr>
          <w:rFonts w:asciiTheme="minorHAnsi" w:hAnsiTheme="minorHAnsi"/>
          <w:sz w:val="20"/>
          <w:szCs w:val="20"/>
        </w:rPr>
        <w:t xml:space="preserve"> a z</w:t>
      </w:r>
      <w:r w:rsidR="00457749" w:rsidRPr="00457749">
        <w:rPr>
          <w:rFonts w:asciiTheme="minorHAnsi" w:hAnsiTheme="minorHAnsi"/>
          <w:sz w:val="20"/>
          <w:szCs w:val="20"/>
        </w:rPr>
        <w:t>ároveň je</w:t>
      </w:r>
      <w:r w:rsidRPr="00457749">
        <w:rPr>
          <w:rFonts w:asciiTheme="minorHAnsi" w:hAnsiTheme="minorHAnsi" w:cstheme="minorHAnsi"/>
          <w:sz w:val="20"/>
          <w:szCs w:val="20"/>
        </w:rPr>
        <w:t xml:space="preserve"> největší příspěvkovou organizací Ministerstva kultury.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w:t>
      </w:r>
      <w:r w:rsidR="0047704B" w:rsidRPr="00457749">
        <w:rPr>
          <w:rFonts w:asciiTheme="minorHAnsi" w:hAnsiTheme="minorHAnsi" w:cstheme="minorHAnsi"/>
          <w:sz w:val="20"/>
          <w:szCs w:val="20"/>
        </w:rPr>
        <w:t>Jako vědecká a výzkumná organizace se podílí na mnoha projektech, plní výzkumné úkoly, poskytuje odborné vzdělávání v</w:t>
      </w:r>
      <w:r w:rsidR="00280C03" w:rsidRPr="00457749">
        <w:rPr>
          <w:rFonts w:asciiTheme="minorHAnsi" w:hAnsiTheme="minorHAnsi" w:cstheme="minorHAnsi"/>
          <w:sz w:val="20"/>
          <w:szCs w:val="20"/>
        </w:rPr>
        <w:t xml:space="preserve"> oblasti památkové péče a ročně </w:t>
      </w:r>
      <w:r w:rsidR="0047704B" w:rsidRPr="00457749">
        <w:rPr>
          <w:rFonts w:asciiTheme="minorHAnsi" w:hAnsiTheme="minorHAnsi" w:cstheme="minorHAnsi"/>
          <w:sz w:val="20"/>
          <w:szCs w:val="20"/>
        </w:rPr>
        <w:t>vydá</w:t>
      </w:r>
      <w:r w:rsidR="00280C03" w:rsidRPr="00457749">
        <w:rPr>
          <w:rFonts w:asciiTheme="minorHAnsi" w:hAnsiTheme="minorHAnsi" w:cstheme="minorHAnsi"/>
          <w:sz w:val="20"/>
          <w:szCs w:val="20"/>
        </w:rPr>
        <w:t xml:space="preserve">vá desítky </w:t>
      </w:r>
      <w:r w:rsidR="0047704B" w:rsidRPr="00457749">
        <w:rPr>
          <w:rFonts w:asciiTheme="minorHAnsi" w:hAnsiTheme="minorHAnsi" w:cstheme="minorHAnsi"/>
          <w:sz w:val="20"/>
          <w:szCs w:val="20"/>
        </w:rPr>
        <w:t xml:space="preserve">publikací. </w:t>
      </w:r>
      <w:r w:rsidR="00C104A6" w:rsidRPr="00457749">
        <w:rPr>
          <w:rFonts w:asciiTheme="minorHAnsi" w:hAnsiTheme="minorHAnsi" w:cstheme="minorHAnsi"/>
          <w:sz w:val="20"/>
          <w:szCs w:val="20"/>
        </w:rPr>
        <w:t xml:space="preserve">Vedle toho spravuje více než sto nemovitých památek v majetku státu, z nichž většina je </w:t>
      </w:r>
      <w:hyperlink r:id="rId8" w:history="1">
        <w:r w:rsidR="00C104A6" w:rsidRPr="00457749">
          <w:rPr>
            <w:rFonts w:asciiTheme="minorHAnsi" w:hAnsiTheme="minorHAnsi" w:cstheme="minorHAnsi"/>
            <w:sz w:val="20"/>
            <w:szCs w:val="20"/>
          </w:rPr>
          <w:t>přístupná</w:t>
        </w:r>
      </w:hyperlink>
      <w:r w:rsidR="00C104A6" w:rsidRPr="00457749">
        <w:rPr>
          <w:rFonts w:asciiTheme="minorHAnsi" w:hAnsiTheme="minorHAnsi" w:cstheme="minorHAnsi"/>
          <w:sz w:val="20"/>
          <w:szCs w:val="20"/>
        </w:rPr>
        <w:t xml:space="preserve"> veřejnosti. </w:t>
      </w:r>
      <w:r w:rsidR="00F8616F">
        <w:rPr>
          <w:rFonts w:asciiTheme="minorHAnsi" w:hAnsiTheme="minorHAnsi" w:cstheme="minorHAnsi"/>
          <w:sz w:val="20"/>
          <w:szCs w:val="20"/>
        </w:rPr>
        <w:br/>
      </w:r>
      <w:r w:rsidR="00F8616F">
        <w:rPr>
          <w:rFonts w:asciiTheme="minorHAnsi" w:hAnsiTheme="minorHAnsi" w:cstheme="minorHAnsi"/>
          <w:sz w:val="20"/>
          <w:szCs w:val="20"/>
        </w:rPr>
        <w:br/>
      </w:r>
      <w:r w:rsidR="00F8616F">
        <w:rPr>
          <w:rFonts w:asciiTheme="minorHAnsi" w:hAnsiTheme="minorHAnsi" w:cstheme="minorHAnsi"/>
          <w:sz w:val="20"/>
          <w:szCs w:val="20"/>
        </w:rPr>
        <w:lastRenderedPageBreak/>
        <w:br/>
      </w:r>
    </w:p>
    <w:p w:rsidR="00CA0A27" w:rsidRDefault="00CA0A27" w:rsidP="00B31465">
      <w:pPr>
        <w:rPr>
          <w:rFonts w:asciiTheme="minorHAnsi" w:hAnsiTheme="minorHAnsi" w:cstheme="minorHAnsi"/>
          <w:sz w:val="20"/>
        </w:rPr>
      </w:pPr>
    </w:p>
    <w:p w:rsidR="00E94305" w:rsidRPr="00E94305" w:rsidRDefault="00B31465">
      <w:pPr>
        <w:rPr>
          <w:rFonts w:asciiTheme="minorHAnsi" w:hAnsiTheme="minorHAnsi" w:cstheme="minorHAnsi"/>
          <w:sz w:val="22"/>
          <w:szCs w:val="22"/>
        </w:rPr>
      </w:pPr>
      <w:r w:rsidRPr="00E94305">
        <w:rPr>
          <w:rFonts w:asciiTheme="minorHAnsi" w:hAnsiTheme="minorHAnsi" w:cstheme="minorHAnsi"/>
          <w:sz w:val="22"/>
          <w:szCs w:val="22"/>
        </w:rPr>
        <w:t>Kontakt:</w:t>
      </w:r>
    </w:p>
    <w:p w:rsidR="004E036F" w:rsidRPr="00E94305" w:rsidRDefault="00280C03">
      <w:pPr>
        <w:rPr>
          <w:rFonts w:asciiTheme="minorHAnsi" w:hAnsiTheme="minorHAnsi" w:cstheme="minorHAnsi"/>
          <w:sz w:val="22"/>
          <w:szCs w:val="22"/>
        </w:rPr>
      </w:pPr>
      <w:r w:rsidRPr="00E94305">
        <w:rPr>
          <w:rFonts w:asciiTheme="minorHAnsi" w:hAnsiTheme="minorHAnsi" w:cstheme="minorHAnsi"/>
          <w:sz w:val="22"/>
          <w:szCs w:val="22"/>
        </w:rPr>
        <w:t>Mgr. Jan Cieslar, tiskový</w:t>
      </w:r>
      <w:r w:rsidR="00B31465" w:rsidRPr="00E94305">
        <w:rPr>
          <w:rFonts w:asciiTheme="minorHAnsi" w:hAnsiTheme="minorHAnsi" w:cstheme="minorHAnsi"/>
          <w:sz w:val="22"/>
          <w:szCs w:val="22"/>
        </w:rPr>
        <w:t xml:space="preserve"> mluvčí NPÚ, tel. +420 257 010 206, +420 724 511 225, </w:t>
      </w:r>
      <w:r w:rsidRPr="00E94305">
        <w:rPr>
          <w:rFonts w:asciiTheme="minorHAnsi" w:hAnsiTheme="minorHAnsi" w:cstheme="minorHAnsi"/>
          <w:sz w:val="22"/>
          <w:szCs w:val="22"/>
        </w:rPr>
        <w:t>cieslar.jan</w:t>
      </w:r>
      <w:r w:rsidR="00B31465" w:rsidRPr="00E94305">
        <w:rPr>
          <w:rFonts w:asciiTheme="minorHAnsi" w:hAnsiTheme="minorHAnsi" w:cstheme="minorHAnsi"/>
          <w:sz w:val="22"/>
          <w:szCs w:val="22"/>
        </w:rPr>
        <w:t>@npu.</w:t>
      </w:r>
      <w:r w:rsidR="00E94305" w:rsidRPr="00E94305">
        <w:rPr>
          <w:rFonts w:asciiTheme="minorHAnsi" w:hAnsiTheme="minorHAnsi" w:cstheme="minorHAnsi"/>
          <w:sz w:val="22"/>
          <w:szCs w:val="22"/>
        </w:rPr>
        <w:t>cz</w:t>
      </w:r>
    </w:p>
    <w:sectPr w:rsidR="004E036F" w:rsidRPr="00E94305" w:rsidSect="000A7088">
      <w:footerReference w:type="default" r:id="rId9"/>
      <w:headerReference w:type="first" r:id="rId10"/>
      <w:footerReference w:type="first" r:id="rId11"/>
      <w:footnotePr>
        <w:pos w:val="beneathText"/>
      </w:footnotePr>
      <w:pgSz w:w="11906" w:h="16838"/>
      <w:pgMar w:top="1418" w:right="1418" w:bottom="1418" w:left="1418"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74B" w:rsidRDefault="00BF374B">
      <w:r>
        <w:separator/>
      </w:r>
    </w:p>
  </w:endnote>
  <w:endnote w:type="continuationSeparator" w:id="0">
    <w:p w:rsidR="00BF374B" w:rsidRDefault="00BF37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EAC" w:rsidRPr="007044E1" w:rsidRDefault="00CB5EAC"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 </w:t>
    </w:r>
    <w:r>
      <w:rPr>
        <w:rFonts w:ascii="Arial" w:hAnsi="Arial"/>
        <w:color w:val="000000"/>
        <w:sz w:val="16"/>
        <w:szCs w:val="16"/>
      </w:rPr>
      <w:t>–</w:t>
    </w:r>
    <w:r w:rsidRPr="007044E1">
      <w:rPr>
        <w:rFonts w:ascii="Arial" w:hAnsi="Arial"/>
        <w:color w:val="000000"/>
        <w:sz w:val="16"/>
        <w:szCs w:val="16"/>
      </w:rPr>
      <w:t xml:space="preserve"> Malá Strana, P. O. BOX 84</w:t>
    </w:r>
  </w:p>
  <w:p w:rsidR="00CB5EAC" w:rsidRPr="007044E1" w:rsidRDefault="00CB5EAC">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EA7774">
      <w:rPr>
        <w:rFonts w:ascii="Arial" w:hAnsi="Arial"/>
        <w:color w:val="000000"/>
        <w:sz w:val="16"/>
        <w:szCs w:val="16"/>
      </w:rPr>
      <w:t>,</w:t>
    </w:r>
    <w:r w:rsidRPr="00EA7774">
      <w:rPr>
        <w:rFonts w:ascii="Arial" w:hAnsi="Arial"/>
        <w:sz w:val="16"/>
        <w:szCs w:val="16"/>
      </w:rPr>
      <w:t xml:space="preserve"> e</w:t>
    </w:r>
    <w:r w:rsidRPr="00EA7774">
      <w:rPr>
        <w:rFonts w:ascii="Arial" w:hAnsi="Arial"/>
        <w:color w:val="000000"/>
        <w:sz w:val="16"/>
        <w:szCs w:val="16"/>
      </w:rPr>
      <w:t>-mail: epodate</w:t>
    </w:r>
    <w:r>
      <w:rPr>
        <w:rFonts w:ascii="Arial" w:hAnsi="Arial"/>
        <w:color w:val="000000"/>
        <w:sz w:val="16"/>
        <w:szCs w:val="16"/>
      </w:rPr>
      <w:t>l</w:t>
    </w:r>
    <w:r w:rsidRPr="00EA7774">
      <w:rPr>
        <w:rFonts w:ascii="Arial" w:hAnsi="Arial"/>
        <w:color w:val="000000"/>
        <w:sz w:val="16"/>
        <w:szCs w:val="16"/>
      </w:rPr>
      <w:t>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EAC" w:rsidRPr="007044E1" w:rsidRDefault="00CB5EAC"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w:t>
    </w:r>
    <w:r>
      <w:rPr>
        <w:rFonts w:ascii="Arial" w:hAnsi="Arial"/>
        <w:color w:val="000000"/>
        <w:sz w:val="16"/>
        <w:szCs w:val="16"/>
      </w:rPr>
      <w:t xml:space="preserve"> – </w:t>
    </w:r>
    <w:r w:rsidRPr="007044E1">
      <w:rPr>
        <w:rFonts w:ascii="Arial" w:hAnsi="Arial"/>
        <w:color w:val="000000"/>
        <w:sz w:val="16"/>
        <w:szCs w:val="16"/>
      </w:rPr>
      <w:t>Malá Strana, P. O. BOX 84</w:t>
    </w:r>
  </w:p>
  <w:p w:rsidR="00CB5EAC" w:rsidRPr="007044E1" w:rsidRDefault="00CB5EAC" w:rsidP="00AE3239">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7044E1">
      <w:rPr>
        <w:rFonts w:ascii="Arial" w:hAnsi="Arial"/>
        <w:color w:val="000000"/>
        <w:sz w:val="16"/>
        <w:szCs w:val="16"/>
      </w:rPr>
      <w:t>,</w:t>
    </w:r>
    <w:r w:rsidRPr="007044E1">
      <w:rPr>
        <w:rFonts w:ascii="Arial" w:hAnsi="Arial"/>
        <w:sz w:val="16"/>
        <w:szCs w:val="16"/>
      </w:rPr>
      <w:t xml:space="preserve"> </w:t>
    </w:r>
    <w:r w:rsidRPr="00EA7774">
      <w:rPr>
        <w:rFonts w:ascii="Arial" w:hAnsi="Arial"/>
        <w:sz w:val="16"/>
        <w:szCs w:val="16"/>
      </w:rPr>
      <w:t>e</w:t>
    </w:r>
    <w:r w:rsidRPr="00EA7774">
      <w:rPr>
        <w:rFonts w:ascii="Arial" w:hAnsi="Arial"/>
        <w:color w:val="000000"/>
        <w:sz w:val="16"/>
        <w:szCs w:val="16"/>
      </w:rPr>
      <w:t>-mail: epodatelna@npu.cz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p w:rsidR="00CB5EAC" w:rsidRPr="00330A8D" w:rsidRDefault="00CB5EAC">
    <w:pPr>
      <w:pStyle w:val="Zpat"/>
      <w:rPr>
        <w:rFonts w:ascii="Arial" w:hAnsi="Arial"/>
        <w:color w:val="00000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74B" w:rsidRDefault="00BF374B">
      <w:r>
        <w:separator/>
      </w:r>
    </w:p>
  </w:footnote>
  <w:footnote w:type="continuationSeparator" w:id="0">
    <w:p w:rsidR="00BF374B" w:rsidRDefault="00BF374B">
      <w:r>
        <w:continuationSeparator/>
      </w:r>
    </w:p>
  </w:footnote>
  <w:footnote w:id="1">
    <w:p w:rsidR="00170BBA" w:rsidRPr="003C0312" w:rsidRDefault="00170BBA" w:rsidP="00170BBA">
      <w:pPr>
        <w:pStyle w:val="Textpoznpodarou"/>
        <w:rPr>
          <w:rFonts w:asciiTheme="minorHAnsi" w:hAnsiTheme="minorHAnsi"/>
          <w:sz w:val="16"/>
          <w:szCs w:val="16"/>
        </w:rPr>
      </w:pPr>
      <w:r w:rsidRPr="003C0312">
        <w:rPr>
          <w:rStyle w:val="Znakapoznpodarou"/>
          <w:rFonts w:asciiTheme="minorHAnsi" w:hAnsiTheme="minorHAnsi"/>
          <w:sz w:val="16"/>
          <w:szCs w:val="16"/>
        </w:rPr>
        <w:footnoteRef/>
      </w:r>
      <w:r w:rsidRPr="003C0312">
        <w:rPr>
          <w:rFonts w:asciiTheme="minorHAnsi" w:hAnsiTheme="minorHAnsi"/>
          <w:sz w:val="16"/>
          <w:szCs w:val="16"/>
        </w:rPr>
        <w:t xml:space="preserve"> </w:t>
      </w:r>
      <w:r w:rsidRPr="003C0312">
        <w:rPr>
          <w:rFonts w:asciiTheme="minorHAnsi" w:hAnsiTheme="minorHAnsi"/>
          <w:bCs/>
          <w:sz w:val="16"/>
          <w:szCs w:val="16"/>
        </w:rPr>
        <w:t>§ 1, 2, 4, 5, 6, 9, 17 a 22</w:t>
      </w:r>
    </w:p>
  </w:footnote>
  <w:footnote w:id="2">
    <w:p w:rsidR="00170BBA" w:rsidRPr="003C0312" w:rsidRDefault="00170BBA" w:rsidP="00170BBA">
      <w:pPr>
        <w:pStyle w:val="Textpoznpodarou"/>
        <w:rPr>
          <w:rFonts w:asciiTheme="minorHAnsi" w:hAnsiTheme="minorHAnsi"/>
          <w:sz w:val="16"/>
          <w:szCs w:val="16"/>
        </w:rPr>
      </w:pPr>
      <w:r w:rsidRPr="003C0312">
        <w:rPr>
          <w:rStyle w:val="Znakapoznpodarou"/>
          <w:rFonts w:asciiTheme="minorHAnsi" w:hAnsiTheme="minorHAnsi"/>
          <w:sz w:val="16"/>
          <w:szCs w:val="16"/>
        </w:rPr>
        <w:footnoteRef/>
      </w:r>
      <w:r w:rsidRPr="003C0312">
        <w:rPr>
          <w:rFonts w:asciiTheme="minorHAnsi" w:hAnsiTheme="minorHAnsi"/>
          <w:sz w:val="16"/>
          <w:szCs w:val="16"/>
        </w:rPr>
        <w:t xml:space="preserve"> Nařízení vlády ČSR č. 66/1971 ze dne 21. 7. 1971 o památkové rezervaci v hlavním městě Praze (v textu dále jako „Pražská památková rezervace“); Vyhláška hlavního města Prahy č. 15/1991, ze dne 16. 5. 1991 o prohlášení částí území hlavního města Prahy za památkové zóny a o určení podmínek jejich ochrany; Vyhláška hlavního města Prahy č. 10/1993 Sb., ze dne 28. 2. 1993, o prohlášení částí území hlavního města Prahy za památkové zóny a o určení podmínek jejich ochrany; Nařízení vlády č. 127/1995 Sb., ze dne 24. 5. 1995 o prohlášení území ucelených částí vybraných měst a obcí s dochovanými soubory lidové architektury za památkové rezervace; Vyhláška Ministerstva kultury č. 108/2003 Sb., ze dne 1. dubna 2003 o prohlášení území s historickým prostředím ve vybraných městech a obcích za památkové zóny a určování podmínek pro jejich ochranu; Vyhláška Ministerstva kultury č. 413/2004 Sb., ze dne 24. června 2004 o prohlášení území s historickým prostředím ve vybraných obcích a jejich částech za památkové zóny a určení podmínek pro jejich ochranu; Opatření obecné povahy č. 5/2014, ze dne 14. 4. 2014, o prohlášení území s historickým prostředím městské části Praha - Zbraslav za památkovou zónu; Rozhodnutí Národního výboru hl. m. Prahy o určení ochranného pásma památkové rezervace v hl. m. Praze čj. Kul/5-932/81 ze dne 19. 5. 1981 a jeho doplněk ze dne 9. 7. 1981.</w:t>
      </w:r>
    </w:p>
  </w:footnote>
  <w:footnote w:id="3">
    <w:p w:rsidR="00170BBA" w:rsidRPr="003C0312" w:rsidRDefault="00170BBA" w:rsidP="00170BBA">
      <w:pPr>
        <w:pStyle w:val="Textpoznpodarou"/>
        <w:rPr>
          <w:rFonts w:asciiTheme="minorHAnsi" w:hAnsiTheme="minorHAnsi"/>
          <w:sz w:val="16"/>
          <w:szCs w:val="16"/>
        </w:rPr>
      </w:pPr>
      <w:r w:rsidRPr="003C0312">
        <w:rPr>
          <w:rStyle w:val="Znakapoznpodarou"/>
          <w:rFonts w:asciiTheme="minorHAnsi" w:hAnsiTheme="minorHAnsi"/>
          <w:sz w:val="16"/>
          <w:szCs w:val="16"/>
        </w:rPr>
        <w:footnoteRef/>
      </w:r>
      <w:r w:rsidRPr="003C0312">
        <w:rPr>
          <w:rFonts w:asciiTheme="minorHAnsi" w:hAnsiTheme="minorHAnsi"/>
          <w:sz w:val="16"/>
          <w:szCs w:val="16"/>
        </w:rPr>
        <w:t xml:space="preserve"> </w:t>
      </w:r>
      <w:r w:rsidRPr="003C0312">
        <w:rPr>
          <w:rFonts w:asciiTheme="minorHAnsi" w:hAnsiTheme="minorHAnsi"/>
          <w:color w:val="000000"/>
          <w:sz w:val="16"/>
          <w:szCs w:val="16"/>
        </w:rPr>
        <w:t xml:space="preserve">Úmluvu o ochraně světového kulturního a přírodního dědictví, zejména čl. 4, 5; Úmluvu o ochraně architektonického dědictví, zejména čl. 3, 7 a čl. 10 odst. 1, 3, 4, 13; Úmluvu o ochraně archeologického dědictví, zejména čl. 1; </w:t>
      </w:r>
      <w:r w:rsidRPr="003C0312">
        <w:rPr>
          <w:rFonts w:asciiTheme="minorHAnsi" w:hAnsiTheme="minorHAnsi"/>
          <w:sz w:val="16"/>
          <w:szCs w:val="16"/>
        </w:rPr>
        <w:t>Evropskou úmluvu o krajině, zejména čl. 5 a 6)</w:t>
      </w:r>
    </w:p>
  </w:footnote>
  <w:footnote w:id="4">
    <w:p w:rsidR="00170BBA" w:rsidRPr="003C0312" w:rsidRDefault="00170BBA" w:rsidP="00170BBA">
      <w:pPr>
        <w:pStyle w:val="Textpoznpodarou"/>
        <w:rPr>
          <w:rFonts w:asciiTheme="minorHAnsi" w:hAnsiTheme="minorHAnsi"/>
          <w:sz w:val="16"/>
          <w:szCs w:val="16"/>
        </w:rPr>
      </w:pPr>
      <w:r w:rsidRPr="003C0312">
        <w:rPr>
          <w:rStyle w:val="Znakapoznpodarou"/>
          <w:rFonts w:asciiTheme="minorHAnsi" w:hAnsiTheme="minorHAnsi"/>
          <w:sz w:val="16"/>
          <w:szCs w:val="16"/>
        </w:rPr>
        <w:footnoteRef/>
      </w:r>
      <w:r w:rsidRPr="003C0312">
        <w:rPr>
          <w:rFonts w:asciiTheme="minorHAnsi" w:hAnsiTheme="minorHAnsi"/>
          <w:sz w:val="16"/>
          <w:szCs w:val="16"/>
        </w:rPr>
        <w:t xml:space="preserve"> </w:t>
      </w:r>
      <w:r w:rsidRPr="003C0312">
        <w:rPr>
          <w:rFonts w:asciiTheme="minorHAnsi" w:hAnsiTheme="minorHAnsi"/>
          <w:bCs/>
          <w:sz w:val="16"/>
          <w:szCs w:val="16"/>
        </w:rPr>
        <w:t>tzv. „pentagonu“, vymezeném ulicemi Hvězdovou, Na Pankráci, Na Strži, Milevskou a Pujmanové.</w:t>
      </w:r>
    </w:p>
  </w:footnote>
  <w:footnote w:id="5">
    <w:p w:rsidR="00170BBA" w:rsidRPr="003C0312" w:rsidRDefault="00170BBA" w:rsidP="00170BBA">
      <w:pPr>
        <w:pStyle w:val="Textpoznpodarou"/>
        <w:rPr>
          <w:rFonts w:asciiTheme="minorHAnsi" w:hAnsiTheme="minorHAnsi"/>
          <w:sz w:val="16"/>
          <w:szCs w:val="16"/>
        </w:rPr>
      </w:pPr>
      <w:r w:rsidRPr="003C0312">
        <w:rPr>
          <w:rStyle w:val="Znakapoznpodarou"/>
          <w:rFonts w:asciiTheme="minorHAnsi" w:hAnsiTheme="minorHAnsi"/>
          <w:sz w:val="16"/>
          <w:szCs w:val="16"/>
        </w:rPr>
        <w:footnoteRef/>
      </w:r>
      <w:r w:rsidRPr="003C0312">
        <w:rPr>
          <w:rFonts w:asciiTheme="minorHAnsi" w:hAnsiTheme="minorHAnsi"/>
          <w:sz w:val="16"/>
          <w:szCs w:val="16"/>
        </w:rPr>
        <w:t xml:space="preserve"> v poznámce č. 35</w:t>
      </w:r>
    </w:p>
  </w:footnote>
  <w:footnote w:id="6">
    <w:p w:rsidR="00170BBA" w:rsidRPr="00AF3363" w:rsidRDefault="00170BBA" w:rsidP="00170BBA">
      <w:pPr>
        <w:pStyle w:val="Textpoznpodarou"/>
        <w:rPr>
          <w:sz w:val="18"/>
          <w:szCs w:val="18"/>
        </w:rPr>
      </w:pPr>
      <w:r w:rsidRPr="003C0312">
        <w:rPr>
          <w:rStyle w:val="Znakapoznpodarou"/>
          <w:rFonts w:asciiTheme="minorHAnsi" w:hAnsiTheme="minorHAnsi"/>
          <w:sz w:val="16"/>
          <w:szCs w:val="16"/>
        </w:rPr>
        <w:footnoteRef/>
      </w:r>
      <w:r w:rsidRPr="003C0312">
        <w:rPr>
          <w:rFonts w:asciiTheme="minorHAnsi" w:hAnsiTheme="minorHAnsi"/>
          <w:sz w:val="16"/>
          <w:szCs w:val="16"/>
        </w:rPr>
        <w:t xml:space="preserve"> v části výroku 04/Hlava III Regulace výšek</w:t>
      </w:r>
    </w:p>
  </w:footnote>
  <w:footnote w:id="7">
    <w:p w:rsidR="008D7FCA" w:rsidRDefault="008D7FCA">
      <w:pPr>
        <w:pStyle w:val="Textpoznpodarou"/>
      </w:pPr>
      <w:r>
        <w:rPr>
          <w:rStyle w:val="Znakapoznpodarou"/>
        </w:rPr>
        <w:footnoteRef/>
      </w:r>
      <w:r w:rsidRPr="008D7FCA">
        <w:rPr>
          <w:rFonts w:asciiTheme="minorHAnsi" w:hAnsiTheme="minorHAnsi"/>
          <w:sz w:val="16"/>
          <w:szCs w:val="16"/>
        </w:rPr>
        <w:t xml:space="preserve"> </w:t>
      </w:r>
      <w:r>
        <w:rPr>
          <w:rFonts w:asciiTheme="minorHAnsi" w:hAnsiTheme="minorHAnsi"/>
          <w:sz w:val="16"/>
          <w:szCs w:val="16"/>
        </w:rPr>
        <w:t>účelem OP</w:t>
      </w:r>
      <w:r w:rsidRPr="008D7FCA">
        <w:rPr>
          <w:rFonts w:asciiTheme="minorHAnsi" w:hAnsiTheme="minorHAnsi"/>
          <w:sz w:val="16"/>
          <w:szCs w:val="16"/>
        </w:rPr>
        <w:t xml:space="preserve"> </w:t>
      </w:r>
      <w:r>
        <w:rPr>
          <w:rFonts w:asciiTheme="minorHAnsi" w:hAnsiTheme="minorHAnsi"/>
          <w:sz w:val="16"/>
          <w:szCs w:val="16"/>
        </w:rPr>
        <w:t>je</w:t>
      </w:r>
      <w:r w:rsidRPr="008D7FCA">
        <w:rPr>
          <w:rFonts w:asciiTheme="minorHAnsi" w:hAnsiTheme="minorHAnsi"/>
          <w:sz w:val="16"/>
          <w:szCs w:val="16"/>
        </w:rPr>
        <w:t xml:space="preserve"> mimo jiné chránit terénní horizonty</w:t>
      </w:r>
    </w:p>
  </w:footnote>
  <w:footnote w:id="8">
    <w:p w:rsidR="008D7FCA" w:rsidRDefault="008D7FCA">
      <w:pPr>
        <w:pStyle w:val="Textpoznpodarou"/>
      </w:pPr>
      <w:r>
        <w:rPr>
          <w:rStyle w:val="Znakapoznpodarou"/>
        </w:rPr>
        <w:footnoteRef/>
      </w:r>
      <w:r w:rsidR="00EE0D23">
        <w:t xml:space="preserve"> </w:t>
      </w:r>
      <w:r w:rsidR="00EE0D23" w:rsidRPr="00EE0D23">
        <w:rPr>
          <w:rFonts w:asciiTheme="minorHAnsi" w:hAnsiTheme="minorHAnsi"/>
          <w:sz w:val="16"/>
          <w:szCs w:val="16"/>
        </w:rPr>
        <w:t>vydání regulačního plánu, zpracování územní studie</w:t>
      </w:r>
      <w:r>
        <w:t xml:space="preserve"> </w:t>
      </w:r>
    </w:p>
  </w:footnote>
  <w:footnote w:id="9">
    <w:p w:rsidR="00170BBA" w:rsidRPr="003C0312" w:rsidRDefault="00170BBA" w:rsidP="00170BBA">
      <w:pPr>
        <w:pStyle w:val="Textpoznpodarou"/>
        <w:rPr>
          <w:rFonts w:asciiTheme="minorHAnsi" w:hAnsiTheme="minorHAnsi"/>
          <w:sz w:val="16"/>
          <w:szCs w:val="16"/>
        </w:rPr>
      </w:pPr>
      <w:r>
        <w:rPr>
          <w:rStyle w:val="Znakapoznpodarou"/>
        </w:rPr>
        <w:footnoteRef/>
      </w:r>
      <w:hyperlink r:id="rId1" w:history="1">
        <w:r w:rsidRPr="003C0312">
          <w:rPr>
            <w:rStyle w:val="Hypertextovodkaz"/>
            <w:rFonts w:asciiTheme="minorHAnsi" w:hAnsiTheme="minorHAnsi"/>
            <w:sz w:val="16"/>
            <w:szCs w:val="16"/>
          </w:rPr>
          <w:t>http://www.praha.eu/</w:t>
        </w:r>
      </w:hyperlink>
    </w:p>
  </w:footnote>
  <w:footnote w:id="10">
    <w:p w:rsidR="00170BBA" w:rsidRPr="003C0312" w:rsidRDefault="00170BBA" w:rsidP="00170BBA">
      <w:pPr>
        <w:pStyle w:val="Textpoznpodarou"/>
        <w:rPr>
          <w:rFonts w:asciiTheme="minorHAnsi" w:hAnsiTheme="minorHAnsi"/>
          <w:sz w:val="16"/>
          <w:szCs w:val="16"/>
        </w:rPr>
      </w:pPr>
      <w:r w:rsidRPr="003C0312">
        <w:rPr>
          <w:rStyle w:val="Znakapoznpodarou"/>
          <w:rFonts w:asciiTheme="minorHAnsi" w:hAnsiTheme="minorHAnsi"/>
          <w:sz w:val="16"/>
          <w:szCs w:val="16"/>
        </w:rPr>
        <w:footnoteRef/>
      </w:r>
      <w:r w:rsidRPr="003C0312">
        <w:rPr>
          <w:rFonts w:asciiTheme="minorHAnsi" w:hAnsiTheme="minorHAnsi"/>
          <w:sz w:val="16"/>
          <w:szCs w:val="16"/>
        </w:rPr>
        <w:t xml:space="preserve"> </w:t>
      </w:r>
      <w:hyperlink r:id="rId2" w:history="1">
        <w:r w:rsidRPr="003C0312">
          <w:rPr>
            <w:rStyle w:val="Hypertextovodkaz"/>
            <w:rFonts w:asciiTheme="minorHAnsi" w:hAnsiTheme="minorHAnsi"/>
            <w:sz w:val="16"/>
            <w:szCs w:val="16"/>
          </w:rPr>
          <w:t>http://www.mmr.cz/</w:t>
        </w:r>
      </w:hyperlink>
      <w:r w:rsidRPr="003C0312">
        <w:rPr>
          <w:rFonts w:asciiTheme="minorHAnsi" w:hAnsiTheme="minorHAnsi"/>
          <w:sz w:val="16"/>
          <w:szCs w:val="16"/>
        </w:rPr>
        <w:t xml:space="preserve"> </w:t>
      </w:r>
    </w:p>
  </w:footnote>
  <w:footnote w:id="11">
    <w:p w:rsidR="00170BBA" w:rsidRPr="003C0312" w:rsidRDefault="00170BBA" w:rsidP="00170BBA">
      <w:pPr>
        <w:pStyle w:val="Textpoznpodarou"/>
        <w:rPr>
          <w:rFonts w:asciiTheme="minorHAnsi" w:hAnsiTheme="minorHAnsi"/>
          <w:sz w:val="16"/>
          <w:szCs w:val="16"/>
        </w:rPr>
      </w:pPr>
      <w:r w:rsidRPr="003C0312">
        <w:rPr>
          <w:rStyle w:val="Znakapoznpodarou"/>
          <w:rFonts w:asciiTheme="minorHAnsi" w:hAnsiTheme="minorHAnsi"/>
          <w:sz w:val="16"/>
          <w:szCs w:val="16"/>
        </w:rPr>
        <w:footnoteRef/>
      </w:r>
      <w:r w:rsidRPr="003C0312">
        <w:rPr>
          <w:rFonts w:asciiTheme="minorHAnsi" w:hAnsiTheme="minorHAnsi"/>
          <w:sz w:val="16"/>
          <w:szCs w:val="16"/>
        </w:rPr>
        <w:t xml:space="preserve"> schválen 14. ledna 2015 vládou České republiky, usnesením č. 22.</w:t>
      </w:r>
    </w:p>
  </w:footnote>
  <w:footnote w:id="12">
    <w:p w:rsidR="00170BBA" w:rsidRDefault="00170BBA" w:rsidP="00170BBA">
      <w:r w:rsidRPr="003C0312">
        <w:rPr>
          <w:rStyle w:val="Znakapoznpodarou"/>
          <w:rFonts w:asciiTheme="minorHAnsi" w:hAnsiTheme="minorHAnsi"/>
          <w:sz w:val="16"/>
          <w:szCs w:val="16"/>
        </w:rPr>
        <w:footnoteRef/>
      </w:r>
      <w:r w:rsidRPr="003C0312">
        <w:rPr>
          <w:rFonts w:asciiTheme="minorHAnsi" w:hAnsiTheme="minorHAnsi"/>
          <w:sz w:val="16"/>
          <w:szCs w:val="16"/>
        </w:rPr>
        <w:t xml:space="preserve"> Zde je možné najít pouze platný např. ÚP SÚ HMP, ÚA</w:t>
      </w:r>
      <w:r w:rsidR="00EB0DF3">
        <w:rPr>
          <w:rFonts w:asciiTheme="minorHAnsi" w:hAnsiTheme="minorHAnsi"/>
          <w:sz w:val="16"/>
          <w:szCs w:val="16"/>
        </w:rPr>
        <w:t>P a limity využití území, viz.:</w:t>
      </w:r>
      <w:r w:rsidRPr="003C0312">
        <w:rPr>
          <w:rFonts w:asciiTheme="minorHAnsi" w:hAnsiTheme="minorHAnsi"/>
          <w:sz w:val="16"/>
          <w:szCs w:val="16"/>
        </w:rPr>
        <w:t xml:space="preserve"> </w:t>
      </w:r>
      <w:hyperlink r:id="rId3" w:anchor=".WyN7fIoyXbg" w:history="1">
        <w:r w:rsidRPr="003C0312">
          <w:rPr>
            <w:rStyle w:val="Hypertextovodkaz"/>
            <w:rFonts w:asciiTheme="minorHAnsi" w:hAnsiTheme="minorHAnsi"/>
            <w:sz w:val="16"/>
            <w:szCs w:val="16"/>
          </w:rPr>
          <w:t>http://www.geoportalpraha.cz/cs/mapove-aplikace#.WyN7fIoyXbg</w:t>
        </w:r>
      </w:hyperlink>
      <w:r w:rsidRPr="003C0312">
        <w:rPr>
          <w:rFonts w:asciiTheme="minorHAnsi" w:hAnsiTheme="minorHAnsi"/>
          <w:sz w:val="16"/>
          <w:szCs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EAC" w:rsidRDefault="00CB5EAC" w:rsidP="006E00AE">
    <w:pPr>
      <w:pStyle w:val="Zhlav"/>
      <w:tabs>
        <w:tab w:val="clear" w:pos="4536"/>
      </w:tabs>
      <w:ind w:left="-426"/>
      <w:rPr>
        <w:noProof/>
      </w:rPr>
    </w:pPr>
    <w:r>
      <w:rPr>
        <w:noProof/>
      </w:rPr>
      <w:t xml:space="preserve">  </w:t>
    </w:r>
    <w:r>
      <w:rPr>
        <w:noProof/>
      </w:rPr>
      <w:drawing>
        <wp:inline distT="0" distB="0" distL="0" distR="0">
          <wp:extent cx="828675" cy="742950"/>
          <wp:effectExtent l="1905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28675" cy="742950"/>
                  </a:xfrm>
                  <a:prstGeom prst="rect">
                    <a:avLst/>
                  </a:prstGeom>
                  <a:noFill/>
                  <a:ln w="9525">
                    <a:noFill/>
                    <a:miter lim="800000"/>
                    <a:headEnd/>
                    <a:tailEnd/>
                  </a:ln>
                </pic:spPr>
              </pic:pic>
            </a:graphicData>
          </a:graphic>
        </wp:inline>
      </w:drawing>
    </w:r>
    <w:r>
      <w:rPr>
        <w:noProof/>
      </w:rPr>
      <w:tab/>
    </w:r>
    <w:r w:rsidRPr="00A941C0">
      <w:t xml:space="preserve"> </w:t>
    </w:r>
  </w:p>
  <w:p w:rsidR="00CB5EAC" w:rsidRDefault="00CB5EAC" w:rsidP="006E00AE">
    <w:pPr>
      <w:pStyle w:val="Zhlav"/>
      <w:tabs>
        <w:tab w:val="clear" w:pos="4536"/>
      </w:tabs>
      <w:ind w:left="-426"/>
      <w:rPr>
        <w:noProof/>
      </w:rPr>
    </w:pPr>
  </w:p>
  <w:p w:rsidR="00CB5EAC" w:rsidRDefault="00CB5EAC" w:rsidP="006E00AE">
    <w:pPr>
      <w:pStyle w:val="Zhlav"/>
      <w:tabs>
        <w:tab w:val="clear" w:pos="4536"/>
      </w:tabs>
      <w:ind w:left="-426"/>
    </w:pPr>
    <w:r>
      <w:tab/>
    </w:r>
    <w:r>
      <w:tab/>
    </w:r>
  </w:p>
  <w:p w:rsidR="00CB5EAC" w:rsidRPr="00B97682" w:rsidRDefault="00CB5EAC" w:rsidP="00B97682">
    <w:pPr>
      <w:pStyle w:val="Zhlav"/>
    </w:pPr>
    <w:r>
      <w:rPr>
        <w:noProof/>
      </w:rPr>
      <w:drawing>
        <wp:inline distT="0" distB="0" distL="0" distR="0">
          <wp:extent cx="5705475" cy="5705475"/>
          <wp:effectExtent l="19050" t="0" r="9525" b="0"/>
          <wp:docPr id="3" name="obrázek 2" descr="npu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pu_barva"/>
                  <pic:cNvPicPr>
                    <a:picLocks noChangeAspect="1" noChangeArrowheads="1"/>
                  </pic:cNvPicPr>
                </pic:nvPicPr>
                <pic:blipFill>
                  <a:blip r:embed="rId2"/>
                  <a:srcRect/>
                  <a:stretch>
                    <a:fillRect/>
                  </a:stretch>
                </pic:blipFill>
                <pic:spPr bwMode="auto">
                  <a:xfrm>
                    <a:off x="0" y="0"/>
                    <a:ext cx="5705475" cy="57054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4479"/>
    <w:multiLevelType w:val="multilevel"/>
    <w:tmpl w:val="183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61103"/>
    <w:multiLevelType w:val="hybridMultilevel"/>
    <w:tmpl w:val="C4FC99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8351647"/>
    <w:multiLevelType w:val="multilevel"/>
    <w:tmpl w:val="A1F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DD452C"/>
    <w:multiLevelType w:val="hybridMultilevel"/>
    <w:tmpl w:val="E5AA56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nsid w:val="1F9C62B7"/>
    <w:multiLevelType w:val="hybridMultilevel"/>
    <w:tmpl w:val="B6D8F4B8"/>
    <w:lvl w:ilvl="0" w:tplc="48A08C60">
      <w:numFmt w:val="bullet"/>
      <w:lvlText w:val="-"/>
      <w:lvlJc w:val="left"/>
      <w:pPr>
        <w:ind w:left="720" w:hanging="360"/>
      </w:pPr>
      <w:rPr>
        <w:rFonts w:ascii="Calibri" w:eastAsia="Lucida Sans Unicode"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D10D49"/>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28D458C"/>
    <w:multiLevelType w:val="hybridMultilevel"/>
    <w:tmpl w:val="C3C876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5CE7A70"/>
    <w:multiLevelType w:val="multilevel"/>
    <w:tmpl w:val="F43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6D6893"/>
    <w:multiLevelType w:val="multilevel"/>
    <w:tmpl w:val="4C6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20C82"/>
    <w:multiLevelType w:val="hybridMultilevel"/>
    <w:tmpl w:val="2F067E4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nsid w:val="2F882DAB"/>
    <w:multiLevelType w:val="hybridMultilevel"/>
    <w:tmpl w:val="62DAB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1">
    <w:nsid w:val="367E3C0C"/>
    <w:multiLevelType w:val="multilevel"/>
    <w:tmpl w:val="BA7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ED006E"/>
    <w:multiLevelType w:val="hybridMultilevel"/>
    <w:tmpl w:val="59A455AE"/>
    <w:lvl w:ilvl="0" w:tplc="1A22FD42">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nsid w:val="3DAE056A"/>
    <w:multiLevelType w:val="multilevel"/>
    <w:tmpl w:val="BE6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F740E5"/>
    <w:multiLevelType w:val="multilevel"/>
    <w:tmpl w:val="8D0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9B4DDA"/>
    <w:multiLevelType w:val="hybridMultilevel"/>
    <w:tmpl w:val="C5141AA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6">
    <w:nsid w:val="4BE128C0"/>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52166FD9"/>
    <w:multiLevelType w:val="hybridMultilevel"/>
    <w:tmpl w:val="ECB2F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53221966"/>
    <w:multiLevelType w:val="multilevel"/>
    <w:tmpl w:val="4A7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2D45C0"/>
    <w:multiLevelType w:val="multilevel"/>
    <w:tmpl w:val="5236315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68C774E9"/>
    <w:multiLevelType w:val="hybridMultilevel"/>
    <w:tmpl w:val="A45853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3100928"/>
    <w:multiLevelType w:val="multilevel"/>
    <w:tmpl w:val="0E5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E52B5D"/>
    <w:multiLevelType w:val="hybridMultilevel"/>
    <w:tmpl w:val="6ED2E09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nsid w:val="7A112F00"/>
    <w:multiLevelType w:val="hybridMultilevel"/>
    <w:tmpl w:val="BA0E4EB0"/>
    <w:lvl w:ilvl="0" w:tplc="4784193E">
      <w:start w:val="19"/>
      <w:numFmt w:val="bullet"/>
      <w:lvlText w:val="-"/>
      <w:lvlJc w:val="left"/>
      <w:pPr>
        <w:ind w:left="720" w:hanging="360"/>
      </w:pPr>
      <w:rPr>
        <w:rFonts w:ascii="Arial" w:eastAsia="Times New Roman" w:hAnsi="Aria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D28407C"/>
    <w:multiLevelType w:val="multilevel"/>
    <w:tmpl w:val="0E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6"/>
  </w:num>
  <w:num w:numId="3">
    <w:abstractNumId w:val="5"/>
  </w:num>
  <w:num w:numId="4">
    <w:abstractNumId w:val="17"/>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4"/>
  </w:num>
  <w:num w:numId="14">
    <w:abstractNumId w:val="0"/>
  </w:num>
  <w:num w:numId="15">
    <w:abstractNumId w:val="7"/>
  </w:num>
  <w:num w:numId="16">
    <w:abstractNumId w:val="21"/>
  </w:num>
  <w:num w:numId="17">
    <w:abstractNumId w:val="11"/>
  </w:num>
  <w:num w:numId="18">
    <w:abstractNumId w:val="8"/>
  </w:num>
  <w:num w:numId="19">
    <w:abstractNumId w:val="2"/>
  </w:num>
  <w:num w:numId="20">
    <w:abstractNumId w:val="18"/>
  </w:num>
  <w:num w:numId="21">
    <w:abstractNumId w:val="13"/>
  </w:num>
  <w:num w:numId="22">
    <w:abstractNumId w:val="4"/>
  </w:num>
  <w:num w:numId="23">
    <w:abstractNumId w:val="1"/>
  </w:num>
  <w:num w:numId="24">
    <w:abstractNumId w:val="6"/>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characterSpacingControl w:val="doNotCompress"/>
  <w:hdrShapeDefaults>
    <o:shapedefaults v:ext="edit" spidmax="220162"/>
  </w:hdrShapeDefaults>
  <w:footnotePr>
    <w:pos w:val="beneathText"/>
    <w:footnote w:id="-1"/>
    <w:footnote w:id="0"/>
  </w:footnotePr>
  <w:endnotePr>
    <w:endnote w:id="-1"/>
    <w:endnote w:id="0"/>
  </w:endnotePr>
  <w:compat/>
  <w:rsids>
    <w:rsidRoot w:val="005E7BA3"/>
    <w:rsid w:val="000027B5"/>
    <w:rsid w:val="000037D1"/>
    <w:rsid w:val="00003B03"/>
    <w:rsid w:val="00005301"/>
    <w:rsid w:val="000058B4"/>
    <w:rsid w:val="000127F7"/>
    <w:rsid w:val="00012BC3"/>
    <w:rsid w:val="000130DA"/>
    <w:rsid w:val="00015F11"/>
    <w:rsid w:val="000235AF"/>
    <w:rsid w:val="000253ED"/>
    <w:rsid w:val="00034F42"/>
    <w:rsid w:val="00043A75"/>
    <w:rsid w:val="00044DEF"/>
    <w:rsid w:val="00052197"/>
    <w:rsid w:val="00054E25"/>
    <w:rsid w:val="00054E2F"/>
    <w:rsid w:val="00057C4B"/>
    <w:rsid w:val="000641D4"/>
    <w:rsid w:val="00065692"/>
    <w:rsid w:val="000657B4"/>
    <w:rsid w:val="000658B9"/>
    <w:rsid w:val="00065F2B"/>
    <w:rsid w:val="0006626E"/>
    <w:rsid w:val="00073FE4"/>
    <w:rsid w:val="000750D9"/>
    <w:rsid w:val="00076243"/>
    <w:rsid w:val="00082893"/>
    <w:rsid w:val="0008290E"/>
    <w:rsid w:val="000849E9"/>
    <w:rsid w:val="00085C90"/>
    <w:rsid w:val="00087345"/>
    <w:rsid w:val="00091865"/>
    <w:rsid w:val="00092D3D"/>
    <w:rsid w:val="00093493"/>
    <w:rsid w:val="000938EF"/>
    <w:rsid w:val="00095B21"/>
    <w:rsid w:val="000A0CD0"/>
    <w:rsid w:val="000A2AA4"/>
    <w:rsid w:val="000A4AED"/>
    <w:rsid w:val="000A7088"/>
    <w:rsid w:val="000A71DE"/>
    <w:rsid w:val="000A7962"/>
    <w:rsid w:val="000B0C87"/>
    <w:rsid w:val="000B0D82"/>
    <w:rsid w:val="000B19BA"/>
    <w:rsid w:val="000B4272"/>
    <w:rsid w:val="000B55D9"/>
    <w:rsid w:val="000B6E0C"/>
    <w:rsid w:val="000B7560"/>
    <w:rsid w:val="000B78FF"/>
    <w:rsid w:val="000C0F40"/>
    <w:rsid w:val="000C1B34"/>
    <w:rsid w:val="000C57E3"/>
    <w:rsid w:val="000C65D6"/>
    <w:rsid w:val="000D21D6"/>
    <w:rsid w:val="000D3929"/>
    <w:rsid w:val="000D39C8"/>
    <w:rsid w:val="000D53AA"/>
    <w:rsid w:val="000D78C4"/>
    <w:rsid w:val="000F2AEE"/>
    <w:rsid w:val="00102D9E"/>
    <w:rsid w:val="0010422C"/>
    <w:rsid w:val="001049DA"/>
    <w:rsid w:val="00114333"/>
    <w:rsid w:val="00115EDC"/>
    <w:rsid w:val="00116271"/>
    <w:rsid w:val="00123F75"/>
    <w:rsid w:val="00123FF5"/>
    <w:rsid w:val="00136D2C"/>
    <w:rsid w:val="001461BB"/>
    <w:rsid w:val="001469AF"/>
    <w:rsid w:val="001472AE"/>
    <w:rsid w:val="001504EB"/>
    <w:rsid w:val="00150C9F"/>
    <w:rsid w:val="00157B16"/>
    <w:rsid w:val="001705AF"/>
    <w:rsid w:val="00170AB2"/>
    <w:rsid w:val="00170BBA"/>
    <w:rsid w:val="00170C64"/>
    <w:rsid w:val="00170F90"/>
    <w:rsid w:val="00176756"/>
    <w:rsid w:val="0018088A"/>
    <w:rsid w:val="00180B7F"/>
    <w:rsid w:val="001810BA"/>
    <w:rsid w:val="00184A3A"/>
    <w:rsid w:val="00186A3E"/>
    <w:rsid w:val="00186B0B"/>
    <w:rsid w:val="0019121D"/>
    <w:rsid w:val="00191980"/>
    <w:rsid w:val="001922C3"/>
    <w:rsid w:val="00196363"/>
    <w:rsid w:val="00197F36"/>
    <w:rsid w:val="001A16E3"/>
    <w:rsid w:val="001A44BF"/>
    <w:rsid w:val="001A4BA8"/>
    <w:rsid w:val="001A5654"/>
    <w:rsid w:val="001A59D5"/>
    <w:rsid w:val="001A6150"/>
    <w:rsid w:val="001A6E7E"/>
    <w:rsid w:val="001B009D"/>
    <w:rsid w:val="001B136A"/>
    <w:rsid w:val="001B4B19"/>
    <w:rsid w:val="001B4C41"/>
    <w:rsid w:val="001D2A7C"/>
    <w:rsid w:val="001D33B4"/>
    <w:rsid w:val="001D3B09"/>
    <w:rsid w:val="001D4CA7"/>
    <w:rsid w:val="001E1425"/>
    <w:rsid w:val="001E400A"/>
    <w:rsid w:val="001E4C24"/>
    <w:rsid w:val="001E7098"/>
    <w:rsid w:val="001E7405"/>
    <w:rsid w:val="001F0EC2"/>
    <w:rsid w:val="001F251B"/>
    <w:rsid w:val="001F289F"/>
    <w:rsid w:val="001F4706"/>
    <w:rsid w:val="001F6C07"/>
    <w:rsid w:val="001F7629"/>
    <w:rsid w:val="0020032D"/>
    <w:rsid w:val="00202881"/>
    <w:rsid w:val="00210AB3"/>
    <w:rsid w:val="0021111A"/>
    <w:rsid w:val="002122E2"/>
    <w:rsid w:val="00212804"/>
    <w:rsid w:val="00213F39"/>
    <w:rsid w:val="00215087"/>
    <w:rsid w:val="00217D52"/>
    <w:rsid w:val="002234C7"/>
    <w:rsid w:val="00224BE0"/>
    <w:rsid w:val="00225F14"/>
    <w:rsid w:val="00232AF3"/>
    <w:rsid w:val="00236DB8"/>
    <w:rsid w:val="00240006"/>
    <w:rsid w:val="00245F30"/>
    <w:rsid w:val="0025044D"/>
    <w:rsid w:val="00251ED9"/>
    <w:rsid w:val="00251FAC"/>
    <w:rsid w:val="00253AFE"/>
    <w:rsid w:val="00255AFC"/>
    <w:rsid w:val="002566E8"/>
    <w:rsid w:val="002601BC"/>
    <w:rsid w:val="00261A53"/>
    <w:rsid w:val="002628E8"/>
    <w:rsid w:val="0026543A"/>
    <w:rsid w:val="00271C42"/>
    <w:rsid w:val="00271EFE"/>
    <w:rsid w:val="0027508C"/>
    <w:rsid w:val="00280287"/>
    <w:rsid w:val="0028034B"/>
    <w:rsid w:val="00280C03"/>
    <w:rsid w:val="00284387"/>
    <w:rsid w:val="00285671"/>
    <w:rsid w:val="002917CD"/>
    <w:rsid w:val="00294A33"/>
    <w:rsid w:val="00294EB5"/>
    <w:rsid w:val="002A16B3"/>
    <w:rsid w:val="002A1AAA"/>
    <w:rsid w:val="002A1DDF"/>
    <w:rsid w:val="002A2563"/>
    <w:rsid w:val="002A6D61"/>
    <w:rsid w:val="002A7F1D"/>
    <w:rsid w:val="002B0B0D"/>
    <w:rsid w:val="002B3879"/>
    <w:rsid w:val="002B5511"/>
    <w:rsid w:val="002B5F1F"/>
    <w:rsid w:val="002B60D5"/>
    <w:rsid w:val="002B6BAD"/>
    <w:rsid w:val="002B778C"/>
    <w:rsid w:val="002C2627"/>
    <w:rsid w:val="002C390F"/>
    <w:rsid w:val="002C5CE3"/>
    <w:rsid w:val="002C775E"/>
    <w:rsid w:val="002D33FE"/>
    <w:rsid w:val="002D38DB"/>
    <w:rsid w:val="002D404A"/>
    <w:rsid w:val="002D6130"/>
    <w:rsid w:val="002D6344"/>
    <w:rsid w:val="002E3033"/>
    <w:rsid w:val="002E5DCA"/>
    <w:rsid w:val="002F07DA"/>
    <w:rsid w:val="002F37DA"/>
    <w:rsid w:val="002F392B"/>
    <w:rsid w:val="002F4DB8"/>
    <w:rsid w:val="002F5049"/>
    <w:rsid w:val="00303B1E"/>
    <w:rsid w:val="00304FBA"/>
    <w:rsid w:val="00305DF0"/>
    <w:rsid w:val="00306594"/>
    <w:rsid w:val="00310D28"/>
    <w:rsid w:val="0031628D"/>
    <w:rsid w:val="00317E0D"/>
    <w:rsid w:val="00321D7F"/>
    <w:rsid w:val="003231CE"/>
    <w:rsid w:val="00330A8D"/>
    <w:rsid w:val="00333848"/>
    <w:rsid w:val="00333F90"/>
    <w:rsid w:val="00335E71"/>
    <w:rsid w:val="00336C5B"/>
    <w:rsid w:val="00336D5E"/>
    <w:rsid w:val="0034034A"/>
    <w:rsid w:val="00340461"/>
    <w:rsid w:val="00341651"/>
    <w:rsid w:val="003419CA"/>
    <w:rsid w:val="0034263A"/>
    <w:rsid w:val="003444FF"/>
    <w:rsid w:val="00344FAC"/>
    <w:rsid w:val="0034649B"/>
    <w:rsid w:val="00347FDA"/>
    <w:rsid w:val="00351D7F"/>
    <w:rsid w:val="00351DAB"/>
    <w:rsid w:val="00352472"/>
    <w:rsid w:val="00352905"/>
    <w:rsid w:val="0036097F"/>
    <w:rsid w:val="00360CC7"/>
    <w:rsid w:val="003635E6"/>
    <w:rsid w:val="003774C4"/>
    <w:rsid w:val="00380206"/>
    <w:rsid w:val="00384F2D"/>
    <w:rsid w:val="00385924"/>
    <w:rsid w:val="00386C11"/>
    <w:rsid w:val="003879E2"/>
    <w:rsid w:val="00390721"/>
    <w:rsid w:val="003928C2"/>
    <w:rsid w:val="003958C0"/>
    <w:rsid w:val="00395E34"/>
    <w:rsid w:val="0039646E"/>
    <w:rsid w:val="00397B56"/>
    <w:rsid w:val="003B2D15"/>
    <w:rsid w:val="003B2FB6"/>
    <w:rsid w:val="003B7077"/>
    <w:rsid w:val="003C0312"/>
    <w:rsid w:val="003C1B1B"/>
    <w:rsid w:val="003C2AF3"/>
    <w:rsid w:val="003C6D60"/>
    <w:rsid w:val="003C754A"/>
    <w:rsid w:val="003D1790"/>
    <w:rsid w:val="003D33CD"/>
    <w:rsid w:val="003D3C3A"/>
    <w:rsid w:val="003D3C69"/>
    <w:rsid w:val="003D5747"/>
    <w:rsid w:val="003D6D33"/>
    <w:rsid w:val="003D7B4C"/>
    <w:rsid w:val="003E05FB"/>
    <w:rsid w:val="003E3E26"/>
    <w:rsid w:val="003E57ED"/>
    <w:rsid w:val="003E5C53"/>
    <w:rsid w:val="003E7751"/>
    <w:rsid w:val="003F03BB"/>
    <w:rsid w:val="003F1CD0"/>
    <w:rsid w:val="003F2318"/>
    <w:rsid w:val="003F24B6"/>
    <w:rsid w:val="003F2ED7"/>
    <w:rsid w:val="003F3210"/>
    <w:rsid w:val="003F50C8"/>
    <w:rsid w:val="003F5911"/>
    <w:rsid w:val="003F7C6B"/>
    <w:rsid w:val="0040013F"/>
    <w:rsid w:val="004038B7"/>
    <w:rsid w:val="004122F0"/>
    <w:rsid w:val="004128D6"/>
    <w:rsid w:val="00413116"/>
    <w:rsid w:val="00421571"/>
    <w:rsid w:val="004231B6"/>
    <w:rsid w:val="00425762"/>
    <w:rsid w:val="00425C82"/>
    <w:rsid w:val="0042678D"/>
    <w:rsid w:val="00440F59"/>
    <w:rsid w:val="004420E5"/>
    <w:rsid w:val="00450E0E"/>
    <w:rsid w:val="00452691"/>
    <w:rsid w:val="00455300"/>
    <w:rsid w:val="00456E61"/>
    <w:rsid w:val="004571EE"/>
    <w:rsid w:val="00457749"/>
    <w:rsid w:val="00460587"/>
    <w:rsid w:val="004605F9"/>
    <w:rsid w:val="00462367"/>
    <w:rsid w:val="00464A10"/>
    <w:rsid w:val="00464E09"/>
    <w:rsid w:val="00465376"/>
    <w:rsid w:val="00466A80"/>
    <w:rsid w:val="0046748E"/>
    <w:rsid w:val="00467B12"/>
    <w:rsid w:val="00470110"/>
    <w:rsid w:val="0047036C"/>
    <w:rsid w:val="00470CF8"/>
    <w:rsid w:val="00474B82"/>
    <w:rsid w:val="0047506F"/>
    <w:rsid w:val="004765AA"/>
    <w:rsid w:val="0047704B"/>
    <w:rsid w:val="00483012"/>
    <w:rsid w:val="004840B8"/>
    <w:rsid w:val="00485881"/>
    <w:rsid w:val="00485A28"/>
    <w:rsid w:val="00486390"/>
    <w:rsid w:val="00495C19"/>
    <w:rsid w:val="004A26D9"/>
    <w:rsid w:val="004A28B9"/>
    <w:rsid w:val="004A4B05"/>
    <w:rsid w:val="004A5D77"/>
    <w:rsid w:val="004A6F05"/>
    <w:rsid w:val="004A764B"/>
    <w:rsid w:val="004B4ECB"/>
    <w:rsid w:val="004B5CE5"/>
    <w:rsid w:val="004B7EB3"/>
    <w:rsid w:val="004C25E7"/>
    <w:rsid w:val="004C574E"/>
    <w:rsid w:val="004D40DC"/>
    <w:rsid w:val="004D76B2"/>
    <w:rsid w:val="004E036F"/>
    <w:rsid w:val="004E73DA"/>
    <w:rsid w:val="004E7799"/>
    <w:rsid w:val="004F6441"/>
    <w:rsid w:val="004F71F3"/>
    <w:rsid w:val="00507A2C"/>
    <w:rsid w:val="00510444"/>
    <w:rsid w:val="005104CB"/>
    <w:rsid w:val="00514B61"/>
    <w:rsid w:val="0051526E"/>
    <w:rsid w:val="0051609F"/>
    <w:rsid w:val="00516CB7"/>
    <w:rsid w:val="00520DE1"/>
    <w:rsid w:val="005227D1"/>
    <w:rsid w:val="00523461"/>
    <w:rsid w:val="00523865"/>
    <w:rsid w:val="00524649"/>
    <w:rsid w:val="00527D02"/>
    <w:rsid w:val="00530DD6"/>
    <w:rsid w:val="0053107C"/>
    <w:rsid w:val="00533339"/>
    <w:rsid w:val="00535201"/>
    <w:rsid w:val="00535366"/>
    <w:rsid w:val="005373F9"/>
    <w:rsid w:val="005406DD"/>
    <w:rsid w:val="00540A7D"/>
    <w:rsid w:val="00544D7E"/>
    <w:rsid w:val="005450E2"/>
    <w:rsid w:val="00547F89"/>
    <w:rsid w:val="0055333F"/>
    <w:rsid w:val="00554F34"/>
    <w:rsid w:val="00554F7A"/>
    <w:rsid w:val="00555076"/>
    <w:rsid w:val="00555856"/>
    <w:rsid w:val="00564E89"/>
    <w:rsid w:val="00566567"/>
    <w:rsid w:val="005678C4"/>
    <w:rsid w:val="00573473"/>
    <w:rsid w:val="005744A2"/>
    <w:rsid w:val="0057521E"/>
    <w:rsid w:val="00582C09"/>
    <w:rsid w:val="005838D2"/>
    <w:rsid w:val="0058501A"/>
    <w:rsid w:val="005858B1"/>
    <w:rsid w:val="00585BE2"/>
    <w:rsid w:val="0059011F"/>
    <w:rsid w:val="00590978"/>
    <w:rsid w:val="00593AC5"/>
    <w:rsid w:val="00597980"/>
    <w:rsid w:val="005A1DA3"/>
    <w:rsid w:val="005A237D"/>
    <w:rsid w:val="005B1B2B"/>
    <w:rsid w:val="005B3D37"/>
    <w:rsid w:val="005B5913"/>
    <w:rsid w:val="005C3BC6"/>
    <w:rsid w:val="005C4701"/>
    <w:rsid w:val="005C5010"/>
    <w:rsid w:val="005D06B3"/>
    <w:rsid w:val="005D15D7"/>
    <w:rsid w:val="005D2CA9"/>
    <w:rsid w:val="005D43C9"/>
    <w:rsid w:val="005D78DE"/>
    <w:rsid w:val="005E007C"/>
    <w:rsid w:val="005E1754"/>
    <w:rsid w:val="005E1CFC"/>
    <w:rsid w:val="005E1DD2"/>
    <w:rsid w:val="005E3E07"/>
    <w:rsid w:val="005E6B09"/>
    <w:rsid w:val="005E7BA3"/>
    <w:rsid w:val="005F0B11"/>
    <w:rsid w:val="005F1662"/>
    <w:rsid w:val="005F16C2"/>
    <w:rsid w:val="005F2B50"/>
    <w:rsid w:val="005F2C59"/>
    <w:rsid w:val="005F7B44"/>
    <w:rsid w:val="006003A9"/>
    <w:rsid w:val="006012A0"/>
    <w:rsid w:val="006020CA"/>
    <w:rsid w:val="00605A92"/>
    <w:rsid w:val="00606A4E"/>
    <w:rsid w:val="0060734C"/>
    <w:rsid w:val="00611D01"/>
    <w:rsid w:val="00613D0E"/>
    <w:rsid w:val="00616033"/>
    <w:rsid w:val="00623AC5"/>
    <w:rsid w:val="00627DD5"/>
    <w:rsid w:val="00631644"/>
    <w:rsid w:val="00633872"/>
    <w:rsid w:val="00634061"/>
    <w:rsid w:val="00640980"/>
    <w:rsid w:val="006449B1"/>
    <w:rsid w:val="00645D58"/>
    <w:rsid w:val="0064720B"/>
    <w:rsid w:val="0065015D"/>
    <w:rsid w:val="006553F9"/>
    <w:rsid w:val="00656334"/>
    <w:rsid w:val="00661F0C"/>
    <w:rsid w:val="00665610"/>
    <w:rsid w:val="0066572B"/>
    <w:rsid w:val="006830B2"/>
    <w:rsid w:val="00683184"/>
    <w:rsid w:val="00684086"/>
    <w:rsid w:val="00685738"/>
    <w:rsid w:val="00690C9D"/>
    <w:rsid w:val="00695C9B"/>
    <w:rsid w:val="00697377"/>
    <w:rsid w:val="00697E13"/>
    <w:rsid w:val="006A012E"/>
    <w:rsid w:val="006A19B8"/>
    <w:rsid w:val="006A237E"/>
    <w:rsid w:val="006A242C"/>
    <w:rsid w:val="006A4691"/>
    <w:rsid w:val="006A4EA0"/>
    <w:rsid w:val="006B1F86"/>
    <w:rsid w:val="006B2C7B"/>
    <w:rsid w:val="006B2F71"/>
    <w:rsid w:val="006B48DF"/>
    <w:rsid w:val="006B7D92"/>
    <w:rsid w:val="006C1056"/>
    <w:rsid w:val="006C16B3"/>
    <w:rsid w:val="006C70C7"/>
    <w:rsid w:val="006C792A"/>
    <w:rsid w:val="006C7A22"/>
    <w:rsid w:val="006D48C0"/>
    <w:rsid w:val="006D56C2"/>
    <w:rsid w:val="006E00AE"/>
    <w:rsid w:val="006E10C6"/>
    <w:rsid w:val="006E3FBB"/>
    <w:rsid w:val="006E6CEB"/>
    <w:rsid w:val="006E76C0"/>
    <w:rsid w:val="006E7952"/>
    <w:rsid w:val="006F299C"/>
    <w:rsid w:val="006F62FC"/>
    <w:rsid w:val="006F7EAD"/>
    <w:rsid w:val="00700E8F"/>
    <w:rsid w:val="00701196"/>
    <w:rsid w:val="00702957"/>
    <w:rsid w:val="00702E36"/>
    <w:rsid w:val="007044E1"/>
    <w:rsid w:val="00707328"/>
    <w:rsid w:val="00720169"/>
    <w:rsid w:val="007204FF"/>
    <w:rsid w:val="00721556"/>
    <w:rsid w:val="00723177"/>
    <w:rsid w:val="00724F3D"/>
    <w:rsid w:val="00727912"/>
    <w:rsid w:val="007313FF"/>
    <w:rsid w:val="00734B4F"/>
    <w:rsid w:val="00735666"/>
    <w:rsid w:val="0073762D"/>
    <w:rsid w:val="00745B4E"/>
    <w:rsid w:val="00750E55"/>
    <w:rsid w:val="0075522E"/>
    <w:rsid w:val="00757C78"/>
    <w:rsid w:val="00763967"/>
    <w:rsid w:val="00764609"/>
    <w:rsid w:val="00764BB9"/>
    <w:rsid w:val="00775BBC"/>
    <w:rsid w:val="0078030B"/>
    <w:rsid w:val="0078098F"/>
    <w:rsid w:val="0078519F"/>
    <w:rsid w:val="0078707C"/>
    <w:rsid w:val="007905B4"/>
    <w:rsid w:val="007909F2"/>
    <w:rsid w:val="007949A0"/>
    <w:rsid w:val="007961A2"/>
    <w:rsid w:val="00796FCF"/>
    <w:rsid w:val="007A08E8"/>
    <w:rsid w:val="007A5AB9"/>
    <w:rsid w:val="007A7B00"/>
    <w:rsid w:val="007B267F"/>
    <w:rsid w:val="007C12E3"/>
    <w:rsid w:val="007C1CAF"/>
    <w:rsid w:val="007C2E2F"/>
    <w:rsid w:val="007C36FE"/>
    <w:rsid w:val="007C4963"/>
    <w:rsid w:val="007C7220"/>
    <w:rsid w:val="007D1EF6"/>
    <w:rsid w:val="007D2666"/>
    <w:rsid w:val="007D329B"/>
    <w:rsid w:val="007D3EFD"/>
    <w:rsid w:val="007D3F11"/>
    <w:rsid w:val="007D4B3C"/>
    <w:rsid w:val="007E2B74"/>
    <w:rsid w:val="007E54C4"/>
    <w:rsid w:val="007E7586"/>
    <w:rsid w:val="007F361F"/>
    <w:rsid w:val="007F7E43"/>
    <w:rsid w:val="00802242"/>
    <w:rsid w:val="0080252F"/>
    <w:rsid w:val="00803449"/>
    <w:rsid w:val="00804CAF"/>
    <w:rsid w:val="00811C44"/>
    <w:rsid w:val="008130E0"/>
    <w:rsid w:val="008133E9"/>
    <w:rsid w:val="00817AB2"/>
    <w:rsid w:val="00820D2B"/>
    <w:rsid w:val="0082218B"/>
    <w:rsid w:val="008222A5"/>
    <w:rsid w:val="00824C54"/>
    <w:rsid w:val="008275C5"/>
    <w:rsid w:val="008305B8"/>
    <w:rsid w:val="0083138C"/>
    <w:rsid w:val="00834788"/>
    <w:rsid w:val="00836338"/>
    <w:rsid w:val="008402BC"/>
    <w:rsid w:val="00843B22"/>
    <w:rsid w:val="00847B89"/>
    <w:rsid w:val="00850576"/>
    <w:rsid w:val="00851183"/>
    <w:rsid w:val="00851EB7"/>
    <w:rsid w:val="00852F44"/>
    <w:rsid w:val="00861788"/>
    <w:rsid w:val="00862704"/>
    <w:rsid w:val="00863F37"/>
    <w:rsid w:val="008647C6"/>
    <w:rsid w:val="0086494D"/>
    <w:rsid w:val="00865AA5"/>
    <w:rsid w:val="00867860"/>
    <w:rsid w:val="008703C3"/>
    <w:rsid w:val="0087091D"/>
    <w:rsid w:val="00871DAF"/>
    <w:rsid w:val="008746AF"/>
    <w:rsid w:val="00880010"/>
    <w:rsid w:val="00880B52"/>
    <w:rsid w:val="008813D4"/>
    <w:rsid w:val="00881EA5"/>
    <w:rsid w:val="00882707"/>
    <w:rsid w:val="0088659A"/>
    <w:rsid w:val="00887538"/>
    <w:rsid w:val="00892035"/>
    <w:rsid w:val="0089215E"/>
    <w:rsid w:val="008961F5"/>
    <w:rsid w:val="0089751C"/>
    <w:rsid w:val="00897B72"/>
    <w:rsid w:val="008A059B"/>
    <w:rsid w:val="008A4CD6"/>
    <w:rsid w:val="008A6EC1"/>
    <w:rsid w:val="008A767F"/>
    <w:rsid w:val="008B1473"/>
    <w:rsid w:val="008B1BC2"/>
    <w:rsid w:val="008B20C6"/>
    <w:rsid w:val="008B22FF"/>
    <w:rsid w:val="008B34C2"/>
    <w:rsid w:val="008B358B"/>
    <w:rsid w:val="008B4065"/>
    <w:rsid w:val="008B40FE"/>
    <w:rsid w:val="008B46F9"/>
    <w:rsid w:val="008C3033"/>
    <w:rsid w:val="008C3873"/>
    <w:rsid w:val="008C418A"/>
    <w:rsid w:val="008C508F"/>
    <w:rsid w:val="008D11D3"/>
    <w:rsid w:val="008D1940"/>
    <w:rsid w:val="008D2B22"/>
    <w:rsid w:val="008D3130"/>
    <w:rsid w:val="008D3248"/>
    <w:rsid w:val="008D3AF3"/>
    <w:rsid w:val="008D5004"/>
    <w:rsid w:val="008D7FCA"/>
    <w:rsid w:val="008E0CD7"/>
    <w:rsid w:val="008E1473"/>
    <w:rsid w:val="008E37BC"/>
    <w:rsid w:val="008E554E"/>
    <w:rsid w:val="008E6175"/>
    <w:rsid w:val="008E6F48"/>
    <w:rsid w:val="008F42CE"/>
    <w:rsid w:val="008F5ADA"/>
    <w:rsid w:val="009058DD"/>
    <w:rsid w:val="00910BFC"/>
    <w:rsid w:val="009116B7"/>
    <w:rsid w:val="0091172F"/>
    <w:rsid w:val="009117D9"/>
    <w:rsid w:val="00912B8A"/>
    <w:rsid w:val="00914972"/>
    <w:rsid w:val="0091773C"/>
    <w:rsid w:val="00920E2C"/>
    <w:rsid w:val="009217AF"/>
    <w:rsid w:val="00922649"/>
    <w:rsid w:val="0093016A"/>
    <w:rsid w:val="009368F5"/>
    <w:rsid w:val="00937B21"/>
    <w:rsid w:val="009404D2"/>
    <w:rsid w:val="009436C7"/>
    <w:rsid w:val="00945B00"/>
    <w:rsid w:val="00947B12"/>
    <w:rsid w:val="00953946"/>
    <w:rsid w:val="00955636"/>
    <w:rsid w:val="00955682"/>
    <w:rsid w:val="009567A8"/>
    <w:rsid w:val="00964B9D"/>
    <w:rsid w:val="0096767C"/>
    <w:rsid w:val="00972FB5"/>
    <w:rsid w:val="00973026"/>
    <w:rsid w:val="00973593"/>
    <w:rsid w:val="00990277"/>
    <w:rsid w:val="00991BD9"/>
    <w:rsid w:val="009931D8"/>
    <w:rsid w:val="0099763A"/>
    <w:rsid w:val="009A213D"/>
    <w:rsid w:val="009A6BD8"/>
    <w:rsid w:val="009B3C84"/>
    <w:rsid w:val="009B68A3"/>
    <w:rsid w:val="009B7CCC"/>
    <w:rsid w:val="009C00D5"/>
    <w:rsid w:val="009C2143"/>
    <w:rsid w:val="009C7DEF"/>
    <w:rsid w:val="009D2B02"/>
    <w:rsid w:val="009D5679"/>
    <w:rsid w:val="009E0F02"/>
    <w:rsid w:val="009E487B"/>
    <w:rsid w:val="009E5D81"/>
    <w:rsid w:val="009E65BC"/>
    <w:rsid w:val="009E7244"/>
    <w:rsid w:val="009F0A1B"/>
    <w:rsid w:val="009F5225"/>
    <w:rsid w:val="009F639E"/>
    <w:rsid w:val="00A013C3"/>
    <w:rsid w:val="00A0271C"/>
    <w:rsid w:val="00A0303B"/>
    <w:rsid w:val="00A030A3"/>
    <w:rsid w:val="00A03CD3"/>
    <w:rsid w:val="00A0748E"/>
    <w:rsid w:val="00A113F8"/>
    <w:rsid w:val="00A12C6C"/>
    <w:rsid w:val="00A168CB"/>
    <w:rsid w:val="00A16DE6"/>
    <w:rsid w:val="00A1732C"/>
    <w:rsid w:val="00A17C22"/>
    <w:rsid w:val="00A17D3D"/>
    <w:rsid w:val="00A2343B"/>
    <w:rsid w:val="00A23A03"/>
    <w:rsid w:val="00A30BC1"/>
    <w:rsid w:val="00A32A7E"/>
    <w:rsid w:val="00A348FE"/>
    <w:rsid w:val="00A371DC"/>
    <w:rsid w:val="00A42FCB"/>
    <w:rsid w:val="00A53687"/>
    <w:rsid w:val="00A55C86"/>
    <w:rsid w:val="00A6185B"/>
    <w:rsid w:val="00A64A1D"/>
    <w:rsid w:val="00A66290"/>
    <w:rsid w:val="00A74352"/>
    <w:rsid w:val="00A77124"/>
    <w:rsid w:val="00A8064B"/>
    <w:rsid w:val="00A828E4"/>
    <w:rsid w:val="00A82F31"/>
    <w:rsid w:val="00A8521F"/>
    <w:rsid w:val="00A864B4"/>
    <w:rsid w:val="00A86627"/>
    <w:rsid w:val="00A87972"/>
    <w:rsid w:val="00A941C0"/>
    <w:rsid w:val="00A957A4"/>
    <w:rsid w:val="00A96639"/>
    <w:rsid w:val="00A972A3"/>
    <w:rsid w:val="00AA0622"/>
    <w:rsid w:val="00AA15D0"/>
    <w:rsid w:val="00AA1CE5"/>
    <w:rsid w:val="00AA3862"/>
    <w:rsid w:val="00AB0EFF"/>
    <w:rsid w:val="00AB26E5"/>
    <w:rsid w:val="00AB287C"/>
    <w:rsid w:val="00AB3C30"/>
    <w:rsid w:val="00AB6134"/>
    <w:rsid w:val="00AB710E"/>
    <w:rsid w:val="00AC0C14"/>
    <w:rsid w:val="00AC42FB"/>
    <w:rsid w:val="00AC4594"/>
    <w:rsid w:val="00AC560D"/>
    <w:rsid w:val="00AC6649"/>
    <w:rsid w:val="00AD17D7"/>
    <w:rsid w:val="00AD3CF1"/>
    <w:rsid w:val="00AD5408"/>
    <w:rsid w:val="00AD6AE4"/>
    <w:rsid w:val="00AE27ED"/>
    <w:rsid w:val="00AE2C1D"/>
    <w:rsid w:val="00AE3239"/>
    <w:rsid w:val="00AE3A28"/>
    <w:rsid w:val="00AE6FBA"/>
    <w:rsid w:val="00AE76BB"/>
    <w:rsid w:val="00AE7D62"/>
    <w:rsid w:val="00AF3626"/>
    <w:rsid w:val="00AF53DE"/>
    <w:rsid w:val="00AF5BFB"/>
    <w:rsid w:val="00AF6DFE"/>
    <w:rsid w:val="00B007C4"/>
    <w:rsid w:val="00B00B1B"/>
    <w:rsid w:val="00B14CAC"/>
    <w:rsid w:val="00B14D14"/>
    <w:rsid w:val="00B17C00"/>
    <w:rsid w:val="00B21155"/>
    <w:rsid w:val="00B24064"/>
    <w:rsid w:val="00B25B53"/>
    <w:rsid w:val="00B26BE1"/>
    <w:rsid w:val="00B31465"/>
    <w:rsid w:val="00B31585"/>
    <w:rsid w:val="00B34B02"/>
    <w:rsid w:val="00B40161"/>
    <w:rsid w:val="00B42A2F"/>
    <w:rsid w:val="00B464F7"/>
    <w:rsid w:val="00B47573"/>
    <w:rsid w:val="00B541F2"/>
    <w:rsid w:val="00B56D89"/>
    <w:rsid w:val="00B57460"/>
    <w:rsid w:val="00B57DC7"/>
    <w:rsid w:val="00B600D6"/>
    <w:rsid w:val="00B60C34"/>
    <w:rsid w:val="00B60FF5"/>
    <w:rsid w:val="00B63353"/>
    <w:rsid w:val="00B6343C"/>
    <w:rsid w:val="00B6390B"/>
    <w:rsid w:val="00B63C6E"/>
    <w:rsid w:val="00B65AB5"/>
    <w:rsid w:val="00B72814"/>
    <w:rsid w:val="00B73294"/>
    <w:rsid w:val="00B73575"/>
    <w:rsid w:val="00B74DEE"/>
    <w:rsid w:val="00B8184F"/>
    <w:rsid w:val="00B83627"/>
    <w:rsid w:val="00B9005A"/>
    <w:rsid w:val="00B94623"/>
    <w:rsid w:val="00B948F1"/>
    <w:rsid w:val="00B97682"/>
    <w:rsid w:val="00BA1B62"/>
    <w:rsid w:val="00BA34F9"/>
    <w:rsid w:val="00BA59FD"/>
    <w:rsid w:val="00BA5C3D"/>
    <w:rsid w:val="00BA5F3A"/>
    <w:rsid w:val="00BB20BC"/>
    <w:rsid w:val="00BB2237"/>
    <w:rsid w:val="00BB6C6D"/>
    <w:rsid w:val="00BB7C5B"/>
    <w:rsid w:val="00BC3EBF"/>
    <w:rsid w:val="00BC46EB"/>
    <w:rsid w:val="00BC4903"/>
    <w:rsid w:val="00BC5DE4"/>
    <w:rsid w:val="00BD14C1"/>
    <w:rsid w:val="00BD1678"/>
    <w:rsid w:val="00BD1A93"/>
    <w:rsid w:val="00BD6046"/>
    <w:rsid w:val="00BE0966"/>
    <w:rsid w:val="00BE372D"/>
    <w:rsid w:val="00BE3D6F"/>
    <w:rsid w:val="00BE56F5"/>
    <w:rsid w:val="00BE6C18"/>
    <w:rsid w:val="00BE6E5F"/>
    <w:rsid w:val="00BF1620"/>
    <w:rsid w:val="00BF248B"/>
    <w:rsid w:val="00BF374B"/>
    <w:rsid w:val="00BF5E9A"/>
    <w:rsid w:val="00C0077D"/>
    <w:rsid w:val="00C04E63"/>
    <w:rsid w:val="00C04EE7"/>
    <w:rsid w:val="00C104A6"/>
    <w:rsid w:val="00C11734"/>
    <w:rsid w:val="00C1385C"/>
    <w:rsid w:val="00C176A8"/>
    <w:rsid w:val="00C1775F"/>
    <w:rsid w:val="00C17897"/>
    <w:rsid w:val="00C20D77"/>
    <w:rsid w:val="00C242AF"/>
    <w:rsid w:val="00C304BE"/>
    <w:rsid w:val="00C317F9"/>
    <w:rsid w:val="00C32651"/>
    <w:rsid w:val="00C33F47"/>
    <w:rsid w:val="00C35AB6"/>
    <w:rsid w:val="00C43F99"/>
    <w:rsid w:val="00C44DCB"/>
    <w:rsid w:val="00C47634"/>
    <w:rsid w:val="00C53092"/>
    <w:rsid w:val="00C53862"/>
    <w:rsid w:val="00C55147"/>
    <w:rsid w:val="00C579E5"/>
    <w:rsid w:val="00C61D5C"/>
    <w:rsid w:val="00C65E7A"/>
    <w:rsid w:val="00C66D79"/>
    <w:rsid w:val="00C70B3D"/>
    <w:rsid w:val="00C72089"/>
    <w:rsid w:val="00C74A6A"/>
    <w:rsid w:val="00C77B29"/>
    <w:rsid w:val="00C80CD7"/>
    <w:rsid w:val="00C860CA"/>
    <w:rsid w:val="00C878A4"/>
    <w:rsid w:val="00C87B56"/>
    <w:rsid w:val="00C93889"/>
    <w:rsid w:val="00C9629C"/>
    <w:rsid w:val="00CA0A27"/>
    <w:rsid w:val="00CA2A22"/>
    <w:rsid w:val="00CB13B7"/>
    <w:rsid w:val="00CB1FC2"/>
    <w:rsid w:val="00CB25E2"/>
    <w:rsid w:val="00CB5042"/>
    <w:rsid w:val="00CB5EAC"/>
    <w:rsid w:val="00CB63E6"/>
    <w:rsid w:val="00CC06D1"/>
    <w:rsid w:val="00CC15A7"/>
    <w:rsid w:val="00CC1B35"/>
    <w:rsid w:val="00CC5C80"/>
    <w:rsid w:val="00CC6314"/>
    <w:rsid w:val="00CC6550"/>
    <w:rsid w:val="00CC71D4"/>
    <w:rsid w:val="00CD03F0"/>
    <w:rsid w:val="00CD1AE3"/>
    <w:rsid w:val="00CD37C1"/>
    <w:rsid w:val="00CD44EC"/>
    <w:rsid w:val="00CD5C37"/>
    <w:rsid w:val="00CE18C6"/>
    <w:rsid w:val="00CE7E1E"/>
    <w:rsid w:val="00D01279"/>
    <w:rsid w:val="00D03CC1"/>
    <w:rsid w:val="00D071B7"/>
    <w:rsid w:val="00D1086B"/>
    <w:rsid w:val="00D233CA"/>
    <w:rsid w:val="00D261F9"/>
    <w:rsid w:val="00D27AF5"/>
    <w:rsid w:val="00D30998"/>
    <w:rsid w:val="00D30D8A"/>
    <w:rsid w:val="00D311E2"/>
    <w:rsid w:val="00D3311B"/>
    <w:rsid w:val="00D337BB"/>
    <w:rsid w:val="00D344DC"/>
    <w:rsid w:val="00D3508D"/>
    <w:rsid w:val="00D36506"/>
    <w:rsid w:val="00D41BE8"/>
    <w:rsid w:val="00D44967"/>
    <w:rsid w:val="00D46D4E"/>
    <w:rsid w:val="00D477CB"/>
    <w:rsid w:val="00D50344"/>
    <w:rsid w:val="00D54AD1"/>
    <w:rsid w:val="00D557F8"/>
    <w:rsid w:val="00D57251"/>
    <w:rsid w:val="00D57261"/>
    <w:rsid w:val="00D6458D"/>
    <w:rsid w:val="00D7544E"/>
    <w:rsid w:val="00D75BDF"/>
    <w:rsid w:val="00D76F5B"/>
    <w:rsid w:val="00D80CBF"/>
    <w:rsid w:val="00D82745"/>
    <w:rsid w:val="00D82D72"/>
    <w:rsid w:val="00D84CCB"/>
    <w:rsid w:val="00D85F8E"/>
    <w:rsid w:val="00D9003E"/>
    <w:rsid w:val="00D90743"/>
    <w:rsid w:val="00D910EB"/>
    <w:rsid w:val="00D91B19"/>
    <w:rsid w:val="00D93F20"/>
    <w:rsid w:val="00D945CC"/>
    <w:rsid w:val="00D9586E"/>
    <w:rsid w:val="00DA2355"/>
    <w:rsid w:val="00DA32D4"/>
    <w:rsid w:val="00DA392F"/>
    <w:rsid w:val="00DA5090"/>
    <w:rsid w:val="00DA6121"/>
    <w:rsid w:val="00DA74AA"/>
    <w:rsid w:val="00DB2CCD"/>
    <w:rsid w:val="00DC1DCF"/>
    <w:rsid w:val="00DC1EC2"/>
    <w:rsid w:val="00DC397C"/>
    <w:rsid w:val="00DC5A1C"/>
    <w:rsid w:val="00DD1C02"/>
    <w:rsid w:val="00DD37BD"/>
    <w:rsid w:val="00DD6141"/>
    <w:rsid w:val="00DD7EDB"/>
    <w:rsid w:val="00DE07B8"/>
    <w:rsid w:val="00DE1A0E"/>
    <w:rsid w:val="00DE33B6"/>
    <w:rsid w:val="00DE3C43"/>
    <w:rsid w:val="00DE7A4C"/>
    <w:rsid w:val="00DF01B4"/>
    <w:rsid w:val="00DF1296"/>
    <w:rsid w:val="00DF214D"/>
    <w:rsid w:val="00DF4940"/>
    <w:rsid w:val="00DF76D8"/>
    <w:rsid w:val="00E02409"/>
    <w:rsid w:val="00E04A19"/>
    <w:rsid w:val="00E1053E"/>
    <w:rsid w:val="00E125A4"/>
    <w:rsid w:val="00E12EB4"/>
    <w:rsid w:val="00E1306A"/>
    <w:rsid w:val="00E157BD"/>
    <w:rsid w:val="00E16FC0"/>
    <w:rsid w:val="00E207B2"/>
    <w:rsid w:val="00E208D3"/>
    <w:rsid w:val="00E242A5"/>
    <w:rsid w:val="00E244DB"/>
    <w:rsid w:val="00E24B8C"/>
    <w:rsid w:val="00E2557C"/>
    <w:rsid w:val="00E25CF4"/>
    <w:rsid w:val="00E331E9"/>
    <w:rsid w:val="00E40D76"/>
    <w:rsid w:val="00E414D1"/>
    <w:rsid w:val="00E445DD"/>
    <w:rsid w:val="00E47F0A"/>
    <w:rsid w:val="00E50D97"/>
    <w:rsid w:val="00E512B2"/>
    <w:rsid w:val="00E51DB0"/>
    <w:rsid w:val="00E53035"/>
    <w:rsid w:val="00E53319"/>
    <w:rsid w:val="00E54C9E"/>
    <w:rsid w:val="00E564F6"/>
    <w:rsid w:val="00E566CB"/>
    <w:rsid w:val="00E56895"/>
    <w:rsid w:val="00E56D97"/>
    <w:rsid w:val="00E62B39"/>
    <w:rsid w:val="00E6590B"/>
    <w:rsid w:val="00E72370"/>
    <w:rsid w:val="00E74B75"/>
    <w:rsid w:val="00E777CD"/>
    <w:rsid w:val="00E77FA0"/>
    <w:rsid w:val="00E82ED2"/>
    <w:rsid w:val="00E87CE1"/>
    <w:rsid w:val="00E87F0A"/>
    <w:rsid w:val="00E9132F"/>
    <w:rsid w:val="00E91C1F"/>
    <w:rsid w:val="00E94305"/>
    <w:rsid w:val="00E973D3"/>
    <w:rsid w:val="00EA071A"/>
    <w:rsid w:val="00EA0AF9"/>
    <w:rsid w:val="00EA1316"/>
    <w:rsid w:val="00EA3D2E"/>
    <w:rsid w:val="00EA46A0"/>
    <w:rsid w:val="00EA6096"/>
    <w:rsid w:val="00EA609C"/>
    <w:rsid w:val="00EA73DC"/>
    <w:rsid w:val="00EA7774"/>
    <w:rsid w:val="00EB0DF3"/>
    <w:rsid w:val="00EB0FC5"/>
    <w:rsid w:val="00EB2721"/>
    <w:rsid w:val="00EB619B"/>
    <w:rsid w:val="00EB637E"/>
    <w:rsid w:val="00EC1B44"/>
    <w:rsid w:val="00EC5524"/>
    <w:rsid w:val="00EC68EA"/>
    <w:rsid w:val="00ED13CF"/>
    <w:rsid w:val="00ED4445"/>
    <w:rsid w:val="00ED4F4D"/>
    <w:rsid w:val="00EE0D23"/>
    <w:rsid w:val="00EE0FE7"/>
    <w:rsid w:val="00EE1A37"/>
    <w:rsid w:val="00EE1EFC"/>
    <w:rsid w:val="00EE2082"/>
    <w:rsid w:val="00EE212E"/>
    <w:rsid w:val="00EE5FB9"/>
    <w:rsid w:val="00EF002B"/>
    <w:rsid w:val="00EF117E"/>
    <w:rsid w:val="00EF387D"/>
    <w:rsid w:val="00EF6395"/>
    <w:rsid w:val="00F00787"/>
    <w:rsid w:val="00F023AB"/>
    <w:rsid w:val="00F04088"/>
    <w:rsid w:val="00F040D9"/>
    <w:rsid w:val="00F0473E"/>
    <w:rsid w:val="00F20DE3"/>
    <w:rsid w:val="00F2256A"/>
    <w:rsid w:val="00F227FA"/>
    <w:rsid w:val="00F262EA"/>
    <w:rsid w:val="00F27B96"/>
    <w:rsid w:val="00F31504"/>
    <w:rsid w:val="00F328AC"/>
    <w:rsid w:val="00F34987"/>
    <w:rsid w:val="00F418E5"/>
    <w:rsid w:val="00F41C2B"/>
    <w:rsid w:val="00F436C8"/>
    <w:rsid w:val="00F45BC9"/>
    <w:rsid w:val="00F46716"/>
    <w:rsid w:val="00F4721E"/>
    <w:rsid w:val="00F50EF5"/>
    <w:rsid w:val="00F53AC1"/>
    <w:rsid w:val="00F53BC2"/>
    <w:rsid w:val="00F559A4"/>
    <w:rsid w:val="00F56FA6"/>
    <w:rsid w:val="00F63A73"/>
    <w:rsid w:val="00F64546"/>
    <w:rsid w:val="00F645F6"/>
    <w:rsid w:val="00F66010"/>
    <w:rsid w:val="00F72A01"/>
    <w:rsid w:val="00F73AAF"/>
    <w:rsid w:val="00F806F9"/>
    <w:rsid w:val="00F8159C"/>
    <w:rsid w:val="00F82455"/>
    <w:rsid w:val="00F83C88"/>
    <w:rsid w:val="00F860D0"/>
    <w:rsid w:val="00F8616F"/>
    <w:rsid w:val="00F87488"/>
    <w:rsid w:val="00F905DA"/>
    <w:rsid w:val="00F91576"/>
    <w:rsid w:val="00F94D85"/>
    <w:rsid w:val="00F958F4"/>
    <w:rsid w:val="00F97723"/>
    <w:rsid w:val="00F97E2F"/>
    <w:rsid w:val="00FA665C"/>
    <w:rsid w:val="00FB467A"/>
    <w:rsid w:val="00FB7D87"/>
    <w:rsid w:val="00FC0AEB"/>
    <w:rsid w:val="00FC2564"/>
    <w:rsid w:val="00FC2B9A"/>
    <w:rsid w:val="00FC4ADF"/>
    <w:rsid w:val="00FC5A3B"/>
    <w:rsid w:val="00FC62F7"/>
    <w:rsid w:val="00FC75C7"/>
    <w:rsid w:val="00FD0735"/>
    <w:rsid w:val="00FD4632"/>
    <w:rsid w:val="00FE3B50"/>
    <w:rsid w:val="00FE52EB"/>
    <w:rsid w:val="00FE730B"/>
    <w:rsid w:val="00FE7C59"/>
    <w:rsid w:val="00FF0815"/>
    <w:rsid w:val="00FF28BA"/>
    <w:rsid w:val="00FF2A4C"/>
    <w:rsid w:val="00FF3419"/>
    <w:rsid w:val="00FF4AE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0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v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34"/>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b/>
      <w:bC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 w:type="paragraph" w:styleId="Bezmezer">
    <w:name w:val="No Spacing"/>
    <w:uiPriority w:val="1"/>
    <w:qFormat/>
    <w:rsid w:val="004122F0"/>
    <w:rPr>
      <w:rFonts w:asciiTheme="minorHAnsi" w:eastAsiaTheme="minorHAnsi" w:hAnsiTheme="minorHAnsi" w:cstheme="minorBidi"/>
      <w:lang w:eastAsia="en-US"/>
    </w:rPr>
  </w:style>
  <w:style w:type="paragraph" w:customStyle="1" w:styleId="Standard">
    <w:name w:val="Standard"/>
    <w:rsid w:val="00FC5A3B"/>
    <w:pPr>
      <w:suppressAutoHyphens/>
      <w:autoSpaceDN w:val="0"/>
      <w:spacing w:after="160" w:line="256" w:lineRule="auto"/>
      <w:textAlignment w:val="baseline"/>
    </w:pPr>
    <w:rPr>
      <w:rFonts w:ascii="Calibri" w:eastAsia="SimSun" w:hAnsi="Calibri" w:cs="Tahoma"/>
      <w:kern w:val="3"/>
      <w:lang w:eastAsia="en-US"/>
    </w:rPr>
  </w:style>
  <w:style w:type="character" w:customStyle="1" w:styleId="datalabel">
    <w:name w:val="datalabel"/>
    <w:basedOn w:val="Standardnpsmoodstavce"/>
    <w:rsid w:val="00C242AF"/>
  </w:style>
  <w:style w:type="character" w:styleId="Sledovanodkaz">
    <w:name w:val="FollowedHyperlink"/>
    <w:basedOn w:val="Standardnpsmoodstavce"/>
    <w:uiPriority w:val="99"/>
    <w:semiHidden/>
    <w:unhideWhenUsed/>
    <w:rsid w:val="00EA6096"/>
    <w:rPr>
      <w:color w:val="800080" w:themeColor="followedHyperlink"/>
      <w:u w:val="single"/>
    </w:rPr>
  </w:style>
  <w:style w:type="character" w:styleId="Znakapoznpodarou">
    <w:name w:val="footnote reference"/>
    <w:basedOn w:val="Standardnpsmoodstavce"/>
    <w:uiPriority w:val="99"/>
    <w:semiHidden/>
    <w:rsid w:val="00170BBA"/>
    <w:rPr>
      <w:vertAlign w:val="superscript"/>
    </w:rPr>
  </w:style>
</w:styles>
</file>

<file path=word/webSettings.xml><?xml version="1.0" encoding="utf-8"?>
<w:webSettings xmlns:r="http://schemas.openxmlformats.org/officeDocument/2006/relationships" xmlns:w="http://schemas.openxmlformats.org/wordprocessingml/2006/main">
  <w:divs>
    <w:div w:id="74055947">
      <w:bodyDiv w:val="1"/>
      <w:marLeft w:val="0"/>
      <w:marRight w:val="0"/>
      <w:marTop w:val="0"/>
      <w:marBottom w:val="0"/>
      <w:divBdr>
        <w:top w:val="none" w:sz="0" w:space="0" w:color="auto"/>
        <w:left w:val="none" w:sz="0" w:space="0" w:color="auto"/>
        <w:bottom w:val="none" w:sz="0" w:space="0" w:color="auto"/>
        <w:right w:val="none" w:sz="0" w:space="0" w:color="auto"/>
      </w:divBdr>
    </w:div>
    <w:div w:id="355351478">
      <w:bodyDiv w:val="1"/>
      <w:marLeft w:val="0"/>
      <w:marRight w:val="0"/>
      <w:marTop w:val="0"/>
      <w:marBottom w:val="0"/>
      <w:divBdr>
        <w:top w:val="none" w:sz="0" w:space="0" w:color="auto"/>
        <w:left w:val="none" w:sz="0" w:space="0" w:color="auto"/>
        <w:bottom w:val="none" w:sz="0" w:space="0" w:color="auto"/>
        <w:right w:val="none" w:sz="0" w:space="0" w:color="auto"/>
      </w:divBdr>
    </w:div>
    <w:div w:id="436876139">
      <w:bodyDiv w:val="1"/>
      <w:marLeft w:val="0"/>
      <w:marRight w:val="0"/>
      <w:marTop w:val="0"/>
      <w:marBottom w:val="0"/>
      <w:divBdr>
        <w:top w:val="none" w:sz="0" w:space="0" w:color="auto"/>
        <w:left w:val="none" w:sz="0" w:space="0" w:color="auto"/>
        <w:bottom w:val="none" w:sz="0" w:space="0" w:color="auto"/>
        <w:right w:val="none" w:sz="0" w:space="0" w:color="auto"/>
      </w:divBdr>
      <w:divsChild>
        <w:div w:id="718627404">
          <w:marLeft w:val="120"/>
          <w:marRight w:val="0"/>
          <w:marTop w:val="192"/>
          <w:marBottom w:val="0"/>
          <w:divBdr>
            <w:top w:val="none" w:sz="0" w:space="0" w:color="auto"/>
            <w:left w:val="none" w:sz="0" w:space="0" w:color="auto"/>
            <w:bottom w:val="none" w:sz="0" w:space="0" w:color="auto"/>
            <w:right w:val="none" w:sz="0" w:space="0" w:color="auto"/>
          </w:divBdr>
        </w:div>
      </w:divsChild>
    </w:div>
    <w:div w:id="452142334">
      <w:bodyDiv w:val="1"/>
      <w:marLeft w:val="0"/>
      <w:marRight w:val="0"/>
      <w:marTop w:val="0"/>
      <w:marBottom w:val="0"/>
      <w:divBdr>
        <w:top w:val="none" w:sz="0" w:space="0" w:color="auto"/>
        <w:left w:val="none" w:sz="0" w:space="0" w:color="auto"/>
        <w:bottom w:val="none" w:sz="0" w:space="0" w:color="auto"/>
        <w:right w:val="none" w:sz="0" w:space="0" w:color="auto"/>
      </w:divBdr>
    </w:div>
    <w:div w:id="461504539">
      <w:marLeft w:val="0"/>
      <w:marRight w:val="0"/>
      <w:marTop w:val="0"/>
      <w:marBottom w:val="0"/>
      <w:divBdr>
        <w:top w:val="none" w:sz="0" w:space="0" w:color="auto"/>
        <w:left w:val="none" w:sz="0" w:space="0" w:color="auto"/>
        <w:bottom w:val="none" w:sz="0" w:space="0" w:color="auto"/>
        <w:right w:val="none" w:sz="0" w:space="0" w:color="auto"/>
      </w:divBdr>
    </w:div>
    <w:div w:id="461504540">
      <w:marLeft w:val="0"/>
      <w:marRight w:val="0"/>
      <w:marTop w:val="0"/>
      <w:marBottom w:val="0"/>
      <w:divBdr>
        <w:top w:val="none" w:sz="0" w:space="0" w:color="auto"/>
        <w:left w:val="none" w:sz="0" w:space="0" w:color="auto"/>
        <w:bottom w:val="none" w:sz="0" w:space="0" w:color="auto"/>
        <w:right w:val="none" w:sz="0" w:space="0" w:color="auto"/>
      </w:divBdr>
    </w:div>
    <w:div w:id="461504541">
      <w:marLeft w:val="0"/>
      <w:marRight w:val="0"/>
      <w:marTop w:val="0"/>
      <w:marBottom w:val="0"/>
      <w:divBdr>
        <w:top w:val="none" w:sz="0" w:space="0" w:color="auto"/>
        <w:left w:val="none" w:sz="0" w:space="0" w:color="auto"/>
        <w:bottom w:val="none" w:sz="0" w:space="0" w:color="auto"/>
        <w:right w:val="none" w:sz="0" w:space="0" w:color="auto"/>
      </w:divBdr>
    </w:div>
    <w:div w:id="461504542">
      <w:marLeft w:val="0"/>
      <w:marRight w:val="0"/>
      <w:marTop w:val="0"/>
      <w:marBottom w:val="0"/>
      <w:divBdr>
        <w:top w:val="none" w:sz="0" w:space="0" w:color="auto"/>
        <w:left w:val="none" w:sz="0" w:space="0" w:color="auto"/>
        <w:bottom w:val="none" w:sz="0" w:space="0" w:color="auto"/>
        <w:right w:val="none" w:sz="0" w:space="0" w:color="auto"/>
      </w:divBdr>
    </w:div>
    <w:div w:id="461504543">
      <w:marLeft w:val="0"/>
      <w:marRight w:val="0"/>
      <w:marTop w:val="0"/>
      <w:marBottom w:val="0"/>
      <w:divBdr>
        <w:top w:val="none" w:sz="0" w:space="0" w:color="auto"/>
        <w:left w:val="none" w:sz="0" w:space="0" w:color="auto"/>
        <w:bottom w:val="none" w:sz="0" w:space="0" w:color="auto"/>
        <w:right w:val="none" w:sz="0" w:space="0" w:color="auto"/>
      </w:divBdr>
    </w:div>
    <w:div w:id="461504544">
      <w:marLeft w:val="0"/>
      <w:marRight w:val="0"/>
      <w:marTop w:val="0"/>
      <w:marBottom w:val="0"/>
      <w:divBdr>
        <w:top w:val="none" w:sz="0" w:space="0" w:color="auto"/>
        <w:left w:val="none" w:sz="0" w:space="0" w:color="auto"/>
        <w:bottom w:val="none" w:sz="0" w:space="0" w:color="auto"/>
        <w:right w:val="none" w:sz="0" w:space="0" w:color="auto"/>
      </w:divBdr>
    </w:div>
    <w:div w:id="461504545">
      <w:marLeft w:val="0"/>
      <w:marRight w:val="0"/>
      <w:marTop w:val="0"/>
      <w:marBottom w:val="0"/>
      <w:divBdr>
        <w:top w:val="none" w:sz="0" w:space="0" w:color="auto"/>
        <w:left w:val="none" w:sz="0" w:space="0" w:color="auto"/>
        <w:bottom w:val="none" w:sz="0" w:space="0" w:color="auto"/>
        <w:right w:val="none" w:sz="0" w:space="0" w:color="auto"/>
      </w:divBdr>
    </w:div>
    <w:div w:id="461504546">
      <w:marLeft w:val="0"/>
      <w:marRight w:val="0"/>
      <w:marTop w:val="0"/>
      <w:marBottom w:val="0"/>
      <w:divBdr>
        <w:top w:val="none" w:sz="0" w:space="0" w:color="auto"/>
        <w:left w:val="none" w:sz="0" w:space="0" w:color="auto"/>
        <w:bottom w:val="none" w:sz="0" w:space="0" w:color="auto"/>
        <w:right w:val="none" w:sz="0" w:space="0" w:color="auto"/>
      </w:divBdr>
    </w:div>
    <w:div w:id="461504547">
      <w:marLeft w:val="0"/>
      <w:marRight w:val="0"/>
      <w:marTop w:val="0"/>
      <w:marBottom w:val="0"/>
      <w:divBdr>
        <w:top w:val="none" w:sz="0" w:space="0" w:color="auto"/>
        <w:left w:val="none" w:sz="0" w:space="0" w:color="auto"/>
        <w:bottom w:val="none" w:sz="0" w:space="0" w:color="auto"/>
        <w:right w:val="none" w:sz="0" w:space="0" w:color="auto"/>
      </w:divBdr>
    </w:div>
    <w:div w:id="461504548">
      <w:marLeft w:val="0"/>
      <w:marRight w:val="0"/>
      <w:marTop w:val="0"/>
      <w:marBottom w:val="0"/>
      <w:divBdr>
        <w:top w:val="none" w:sz="0" w:space="0" w:color="auto"/>
        <w:left w:val="none" w:sz="0" w:space="0" w:color="auto"/>
        <w:bottom w:val="none" w:sz="0" w:space="0" w:color="auto"/>
        <w:right w:val="none" w:sz="0" w:space="0" w:color="auto"/>
      </w:divBdr>
    </w:div>
    <w:div w:id="461504549">
      <w:marLeft w:val="0"/>
      <w:marRight w:val="0"/>
      <w:marTop w:val="0"/>
      <w:marBottom w:val="0"/>
      <w:divBdr>
        <w:top w:val="none" w:sz="0" w:space="0" w:color="auto"/>
        <w:left w:val="none" w:sz="0" w:space="0" w:color="auto"/>
        <w:bottom w:val="none" w:sz="0" w:space="0" w:color="auto"/>
        <w:right w:val="none" w:sz="0" w:space="0" w:color="auto"/>
      </w:divBdr>
    </w:div>
    <w:div w:id="461504550">
      <w:marLeft w:val="0"/>
      <w:marRight w:val="0"/>
      <w:marTop w:val="0"/>
      <w:marBottom w:val="0"/>
      <w:divBdr>
        <w:top w:val="none" w:sz="0" w:space="0" w:color="auto"/>
        <w:left w:val="none" w:sz="0" w:space="0" w:color="auto"/>
        <w:bottom w:val="none" w:sz="0" w:space="0" w:color="auto"/>
        <w:right w:val="none" w:sz="0" w:space="0" w:color="auto"/>
      </w:divBdr>
    </w:div>
    <w:div w:id="461504551">
      <w:marLeft w:val="0"/>
      <w:marRight w:val="0"/>
      <w:marTop w:val="0"/>
      <w:marBottom w:val="0"/>
      <w:divBdr>
        <w:top w:val="none" w:sz="0" w:space="0" w:color="auto"/>
        <w:left w:val="none" w:sz="0" w:space="0" w:color="auto"/>
        <w:bottom w:val="none" w:sz="0" w:space="0" w:color="auto"/>
        <w:right w:val="none" w:sz="0" w:space="0" w:color="auto"/>
      </w:divBdr>
    </w:div>
    <w:div w:id="461504552">
      <w:marLeft w:val="0"/>
      <w:marRight w:val="0"/>
      <w:marTop w:val="0"/>
      <w:marBottom w:val="0"/>
      <w:divBdr>
        <w:top w:val="none" w:sz="0" w:space="0" w:color="auto"/>
        <w:left w:val="none" w:sz="0" w:space="0" w:color="auto"/>
        <w:bottom w:val="none" w:sz="0" w:space="0" w:color="auto"/>
        <w:right w:val="none" w:sz="0" w:space="0" w:color="auto"/>
      </w:divBdr>
    </w:div>
    <w:div w:id="461504553">
      <w:marLeft w:val="0"/>
      <w:marRight w:val="0"/>
      <w:marTop w:val="0"/>
      <w:marBottom w:val="0"/>
      <w:divBdr>
        <w:top w:val="none" w:sz="0" w:space="0" w:color="auto"/>
        <w:left w:val="none" w:sz="0" w:space="0" w:color="auto"/>
        <w:bottom w:val="none" w:sz="0" w:space="0" w:color="auto"/>
        <w:right w:val="none" w:sz="0" w:space="0" w:color="auto"/>
      </w:divBdr>
    </w:div>
    <w:div w:id="461504554">
      <w:marLeft w:val="0"/>
      <w:marRight w:val="0"/>
      <w:marTop w:val="0"/>
      <w:marBottom w:val="0"/>
      <w:divBdr>
        <w:top w:val="none" w:sz="0" w:space="0" w:color="auto"/>
        <w:left w:val="none" w:sz="0" w:space="0" w:color="auto"/>
        <w:bottom w:val="none" w:sz="0" w:space="0" w:color="auto"/>
        <w:right w:val="none" w:sz="0" w:space="0" w:color="auto"/>
      </w:divBdr>
    </w:div>
    <w:div w:id="461504555">
      <w:marLeft w:val="0"/>
      <w:marRight w:val="0"/>
      <w:marTop w:val="0"/>
      <w:marBottom w:val="0"/>
      <w:divBdr>
        <w:top w:val="none" w:sz="0" w:space="0" w:color="auto"/>
        <w:left w:val="none" w:sz="0" w:space="0" w:color="auto"/>
        <w:bottom w:val="none" w:sz="0" w:space="0" w:color="auto"/>
        <w:right w:val="none" w:sz="0" w:space="0" w:color="auto"/>
      </w:divBdr>
    </w:div>
    <w:div w:id="461504556">
      <w:marLeft w:val="0"/>
      <w:marRight w:val="0"/>
      <w:marTop w:val="0"/>
      <w:marBottom w:val="0"/>
      <w:divBdr>
        <w:top w:val="none" w:sz="0" w:space="0" w:color="auto"/>
        <w:left w:val="none" w:sz="0" w:space="0" w:color="auto"/>
        <w:bottom w:val="none" w:sz="0" w:space="0" w:color="auto"/>
        <w:right w:val="none" w:sz="0" w:space="0" w:color="auto"/>
      </w:divBdr>
    </w:div>
    <w:div w:id="461504557">
      <w:marLeft w:val="0"/>
      <w:marRight w:val="0"/>
      <w:marTop w:val="0"/>
      <w:marBottom w:val="0"/>
      <w:divBdr>
        <w:top w:val="none" w:sz="0" w:space="0" w:color="auto"/>
        <w:left w:val="none" w:sz="0" w:space="0" w:color="auto"/>
        <w:bottom w:val="none" w:sz="0" w:space="0" w:color="auto"/>
        <w:right w:val="none" w:sz="0" w:space="0" w:color="auto"/>
      </w:divBdr>
    </w:div>
    <w:div w:id="461504558">
      <w:marLeft w:val="0"/>
      <w:marRight w:val="0"/>
      <w:marTop w:val="0"/>
      <w:marBottom w:val="0"/>
      <w:divBdr>
        <w:top w:val="none" w:sz="0" w:space="0" w:color="auto"/>
        <w:left w:val="none" w:sz="0" w:space="0" w:color="auto"/>
        <w:bottom w:val="none" w:sz="0" w:space="0" w:color="auto"/>
        <w:right w:val="none" w:sz="0" w:space="0" w:color="auto"/>
      </w:divBdr>
    </w:div>
    <w:div w:id="461504559">
      <w:marLeft w:val="0"/>
      <w:marRight w:val="0"/>
      <w:marTop w:val="0"/>
      <w:marBottom w:val="0"/>
      <w:divBdr>
        <w:top w:val="none" w:sz="0" w:space="0" w:color="auto"/>
        <w:left w:val="none" w:sz="0" w:space="0" w:color="auto"/>
        <w:bottom w:val="none" w:sz="0" w:space="0" w:color="auto"/>
        <w:right w:val="none" w:sz="0" w:space="0" w:color="auto"/>
      </w:divBdr>
    </w:div>
    <w:div w:id="461504560">
      <w:marLeft w:val="0"/>
      <w:marRight w:val="0"/>
      <w:marTop w:val="0"/>
      <w:marBottom w:val="0"/>
      <w:divBdr>
        <w:top w:val="none" w:sz="0" w:space="0" w:color="auto"/>
        <w:left w:val="none" w:sz="0" w:space="0" w:color="auto"/>
        <w:bottom w:val="none" w:sz="0" w:space="0" w:color="auto"/>
        <w:right w:val="none" w:sz="0" w:space="0" w:color="auto"/>
      </w:divBdr>
    </w:div>
    <w:div w:id="461504561">
      <w:marLeft w:val="0"/>
      <w:marRight w:val="0"/>
      <w:marTop w:val="0"/>
      <w:marBottom w:val="0"/>
      <w:divBdr>
        <w:top w:val="none" w:sz="0" w:space="0" w:color="auto"/>
        <w:left w:val="none" w:sz="0" w:space="0" w:color="auto"/>
        <w:bottom w:val="none" w:sz="0" w:space="0" w:color="auto"/>
        <w:right w:val="none" w:sz="0" w:space="0" w:color="auto"/>
      </w:divBdr>
    </w:div>
    <w:div w:id="461504562">
      <w:marLeft w:val="0"/>
      <w:marRight w:val="0"/>
      <w:marTop w:val="0"/>
      <w:marBottom w:val="0"/>
      <w:divBdr>
        <w:top w:val="none" w:sz="0" w:space="0" w:color="auto"/>
        <w:left w:val="none" w:sz="0" w:space="0" w:color="auto"/>
        <w:bottom w:val="none" w:sz="0" w:space="0" w:color="auto"/>
        <w:right w:val="none" w:sz="0" w:space="0" w:color="auto"/>
      </w:divBdr>
    </w:div>
    <w:div w:id="737018941">
      <w:bodyDiv w:val="1"/>
      <w:marLeft w:val="0"/>
      <w:marRight w:val="0"/>
      <w:marTop w:val="0"/>
      <w:marBottom w:val="0"/>
      <w:divBdr>
        <w:top w:val="none" w:sz="0" w:space="0" w:color="auto"/>
        <w:left w:val="none" w:sz="0" w:space="0" w:color="auto"/>
        <w:bottom w:val="none" w:sz="0" w:space="0" w:color="auto"/>
        <w:right w:val="none" w:sz="0" w:space="0" w:color="auto"/>
      </w:divBdr>
      <w:divsChild>
        <w:div w:id="932250322">
          <w:marLeft w:val="120"/>
          <w:marRight w:val="0"/>
          <w:marTop w:val="192"/>
          <w:marBottom w:val="0"/>
          <w:divBdr>
            <w:top w:val="none" w:sz="0" w:space="0" w:color="auto"/>
            <w:left w:val="none" w:sz="0" w:space="0" w:color="auto"/>
            <w:bottom w:val="none" w:sz="0" w:space="0" w:color="auto"/>
            <w:right w:val="none" w:sz="0" w:space="0" w:color="auto"/>
          </w:divBdr>
        </w:div>
      </w:divsChild>
    </w:div>
    <w:div w:id="804929457">
      <w:bodyDiv w:val="1"/>
      <w:marLeft w:val="0"/>
      <w:marRight w:val="0"/>
      <w:marTop w:val="0"/>
      <w:marBottom w:val="0"/>
      <w:divBdr>
        <w:top w:val="none" w:sz="0" w:space="0" w:color="auto"/>
        <w:left w:val="none" w:sz="0" w:space="0" w:color="auto"/>
        <w:bottom w:val="none" w:sz="0" w:space="0" w:color="auto"/>
        <w:right w:val="none" w:sz="0" w:space="0" w:color="auto"/>
      </w:divBdr>
    </w:div>
    <w:div w:id="1006440485">
      <w:bodyDiv w:val="1"/>
      <w:marLeft w:val="0"/>
      <w:marRight w:val="0"/>
      <w:marTop w:val="0"/>
      <w:marBottom w:val="0"/>
      <w:divBdr>
        <w:top w:val="none" w:sz="0" w:space="0" w:color="auto"/>
        <w:left w:val="none" w:sz="0" w:space="0" w:color="auto"/>
        <w:bottom w:val="none" w:sz="0" w:space="0" w:color="auto"/>
        <w:right w:val="none" w:sz="0" w:space="0" w:color="auto"/>
      </w:divBdr>
    </w:div>
    <w:div w:id="1229001667">
      <w:bodyDiv w:val="1"/>
      <w:marLeft w:val="0"/>
      <w:marRight w:val="0"/>
      <w:marTop w:val="0"/>
      <w:marBottom w:val="0"/>
      <w:divBdr>
        <w:top w:val="none" w:sz="0" w:space="0" w:color="auto"/>
        <w:left w:val="none" w:sz="0" w:space="0" w:color="auto"/>
        <w:bottom w:val="none" w:sz="0" w:space="0" w:color="auto"/>
        <w:right w:val="none" w:sz="0" w:space="0" w:color="auto"/>
      </w:divBdr>
    </w:div>
    <w:div w:id="1237743205">
      <w:bodyDiv w:val="1"/>
      <w:marLeft w:val="0"/>
      <w:marRight w:val="0"/>
      <w:marTop w:val="0"/>
      <w:marBottom w:val="0"/>
      <w:divBdr>
        <w:top w:val="none" w:sz="0" w:space="0" w:color="auto"/>
        <w:left w:val="none" w:sz="0" w:space="0" w:color="auto"/>
        <w:bottom w:val="none" w:sz="0" w:space="0" w:color="auto"/>
        <w:right w:val="none" w:sz="0" w:space="0" w:color="auto"/>
      </w:divBdr>
    </w:div>
    <w:div w:id="1256938537">
      <w:bodyDiv w:val="1"/>
      <w:marLeft w:val="0"/>
      <w:marRight w:val="0"/>
      <w:marTop w:val="0"/>
      <w:marBottom w:val="0"/>
      <w:divBdr>
        <w:top w:val="none" w:sz="0" w:space="0" w:color="auto"/>
        <w:left w:val="none" w:sz="0" w:space="0" w:color="auto"/>
        <w:bottom w:val="none" w:sz="0" w:space="0" w:color="auto"/>
        <w:right w:val="none" w:sz="0" w:space="0" w:color="auto"/>
      </w:divBdr>
    </w:div>
    <w:div w:id="1366367130">
      <w:bodyDiv w:val="1"/>
      <w:marLeft w:val="0"/>
      <w:marRight w:val="0"/>
      <w:marTop w:val="0"/>
      <w:marBottom w:val="0"/>
      <w:divBdr>
        <w:top w:val="none" w:sz="0" w:space="0" w:color="auto"/>
        <w:left w:val="none" w:sz="0" w:space="0" w:color="auto"/>
        <w:bottom w:val="none" w:sz="0" w:space="0" w:color="auto"/>
        <w:right w:val="none" w:sz="0" w:space="0" w:color="auto"/>
      </w:divBdr>
      <w:divsChild>
        <w:div w:id="953902077">
          <w:marLeft w:val="0"/>
          <w:marRight w:val="0"/>
          <w:marTop w:val="0"/>
          <w:marBottom w:val="0"/>
          <w:divBdr>
            <w:top w:val="none" w:sz="0" w:space="0" w:color="auto"/>
            <w:left w:val="none" w:sz="0" w:space="0" w:color="auto"/>
            <w:bottom w:val="none" w:sz="0" w:space="0" w:color="auto"/>
            <w:right w:val="none" w:sz="0" w:space="0" w:color="auto"/>
          </w:divBdr>
        </w:div>
        <w:div w:id="81802546">
          <w:marLeft w:val="0"/>
          <w:marRight w:val="0"/>
          <w:marTop w:val="0"/>
          <w:marBottom w:val="0"/>
          <w:divBdr>
            <w:top w:val="none" w:sz="0" w:space="0" w:color="auto"/>
            <w:left w:val="none" w:sz="0" w:space="0" w:color="auto"/>
            <w:bottom w:val="none" w:sz="0" w:space="0" w:color="auto"/>
            <w:right w:val="none" w:sz="0" w:space="0" w:color="auto"/>
          </w:divBdr>
        </w:div>
        <w:div w:id="1405488157">
          <w:marLeft w:val="0"/>
          <w:marRight w:val="0"/>
          <w:marTop w:val="0"/>
          <w:marBottom w:val="0"/>
          <w:divBdr>
            <w:top w:val="none" w:sz="0" w:space="0" w:color="auto"/>
            <w:left w:val="none" w:sz="0" w:space="0" w:color="auto"/>
            <w:bottom w:val="none" w:sz="0" w:space="0" w:color="auto"/>
            <w:right w:val="none" w:sz="0" w:space="0" w:color="auto"/>
          </w:divBdr>
        </w:div>
      </w:divsChild>
    </w:div>
    <w:div w:id="1398213280">
      <w:bodyDiv w:val="1"/>
      <w:marLeft w:val="0"/>
      <w:marRight w:val="0"/>
      <w:marTop w:val="0"/>
      <w:marBottom w:val="0"/>
      <w:divBdr>
        <w:top w:val="none" w:sz="0" w:space="0" w:color="auto"/>
        <w:left w:val="none" w:sz="0" w:space="0" w:color="auto"/>
        <w:bottom w:val="none" w:sz="0" w:space="0" w:color="auto"/>
        <w:right w:val="none" w:sz="0" w:space="0" w:color="auto"/>
      </w:divBdr>
    </w:div>
    <w:div w:id="1522933128">
      <w:bodyDiv w:val="1"/>
      <w:marLeft w:val="0"/>
      <w:marRight w:val="0"/>
      <w:marTop w:val="0"/>
      <w:marBottom w:val="0"/>
      <w:divBdr>
        <w:top w:val="none" w:sz="0" w:space="0" w:color="auto"/>
        <w:left w:val="none" w:sz="0" w:space="0" w:color="auto"/>
        <w:bottom w:val="none" w:sz="0" w:space="0" w:color="auto"/>
        <w:right w:val="none" w:sz="0" w:space="0" w:color="auto"/>
      </w:divBdr>
    </w:div>
    <w:div w:id="157936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pro-navstevnik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geoportalpraha.cz/cs/mapove-aplikace" TargetMode="External"/><Relationship Id="rId2" Type="http://schemas.openxmlformats.org/officeDocument/2006/relationships/hyperlink" Target="http://www.mmr.cz/cs/Ministerstvo/Stavebni-pravo/Koncepce-Strategie/Politika-architektury-a-stavebni-%20kultury-Ceske-(1)/Politika-architektury-a-stavebni-kultury-Ceske-rep" TargetMode="External"/><Relationship Id="rId1" Type="http://schemas.openxmlformats.org/officeDocument/2006/relationships/hyperlink" Target="http://www.praha.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1CF84-6309-403B-99C2-69CF5279C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888</Words>
  <Characters>5241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TZ NPÚ</vt:lpstr>
    </vt:vector>
  </TitlesOfParts>
  <Company>NPU</Company>
  <LinksUpToDate>false</LinksUpToDate>
  <CharactersWithSpaces>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NPÚ</dc:title>
  <dc:creator>Cieslar Jan</dc:creator>
  <cp:lastModifiedBy>strasserova</cp:lastModifiedBy>
  <cp:revision>2</cp:revision>
  <cp:lastPrinted>2018-06-28T16:50:00Z</cp:lastPrinted>
  <dcterms:created xsi:type="dcterms:W3CDTF">2018-07-04T10:53:00Z</dcterms:created>
  <dcterms:modified xsi:type="dcterms:W3CDTF">2018-07-04T10:53:00Z</dcterms:modified>
</cp:coreProperties>
</file>