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86DF3" w:rsidRDefault="007F072D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7F072D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4B2A23" w:rsidRPr="004F6FE1" w:rsidRDefault="004B2A23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DA10C1" w:rsidRDefault="00DA10C1" w:rsidP="008B6208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Nově vydaná p</w:t>
      </w:r>
      <w:r w:rsidR="00493AC2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ublik</w:t>
      </w:r>
      <w:r w:rsidR="000220FC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ace Nádraží Ostrava-Vítkovice </w:t>
      </w:r>
    </w:p>
    <w:p w:rsidR="005540E7" w:rsidRPr="00795E6F" w:rsidRDefault="000220FC" w:rsidP="008B6208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(</w:t>
      </w:r>
      <w:r w:rsidR="00493AC2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s podtitulem Historie / architektura/ památkový potenciál</w:t>
      </w: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)</w:t>
      </w:r>
    </w:p>
    <w:p w:rsidR="00D90B50" w:rsidRPr="009F10D8" w:rsidRDefault="00D90B50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9067EB" w:rsidRPr="00BB6A0A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BB6A0A">
        <w:rPr>
          <w:rFonts w:asciiTheme="minorHAnsi" w:hAnsiTheme="minorHAnsi"/>
          <w:b/>
        </w:rPr>
        <w:t xml:space="preserve">Ostrava, </w:t>
      </w:r>
      <w:r w:rsidR="00493AC2">
        <w:rPr>
          <w:rFonts w:asciiTheme="minorHAnsi" w:hAnsiTheme="minorHAnsi"/>
          <w:b/>
        </w:rPr>
        <w:t>7</w:t>
      </w:r>
      <w:r w:rsidR="005540E7" w:rsidRPr="00BB6A0A">
        <w:rPr>
          <w:rFonts w:asciiTheme="minorHAnsi" w:hAnsiTheme="minorHAnsi"/>
          <w:b/>
        </w:rPr>
        <w:t xml:space="preserve">. </w:t>
      </w:r>
      <w:r w:rsidR="008B260B">
        <w:rPr>
          <w:rFonts w:asciiTheme="minorHAnsi" w:hAnsiTheme="minorHAnsi"/>
          <w:b/>
        </w:rPr>
        <w:t>2</w:t>
      </w:r>
      <w:r w:rsidR="009067EB" w:rsidRPr="00BB6A0A">
        <w:rPr>
          <w:rFonts w:asciiTheme="minorHAnsi" w:hAnsiTheme="minorHAnsi"/>
          <w:b/>
        </w:rPr>
        <w:t>.</w:t>
      </w:r>
      <w:r w:rsidR="00BB6A0A" w:rsidRPr="00BB6A0A">
        <w:rPr>
          <w:rFonts w:asciiTheme="minorHAnsi" w:hAnsiTheme="minorHAnsi"/>
          <w:b/>
        </w:rPr>
        <w:t xml:space="preserve"> 2018</w:t>
      </w:r>
    </w:p>
    <w:p w:rsidR="004443FC" w:rsidRPr="00272A10" w:rsidRDefault="00895660" w:rsidP="006318FE">
      <w:pPr>
        <w:jc w:val="both"/>
        <w:rPr>
          <w:rFonts w:asciiTheme="minorHAnsi" w:hAnsiTheme="minorHAnsi"/>
          <w:i/>
        </w:rPr>
      </w:pPr>
      <w:r w:rsidRPr="001D70F5">
        <w:rPr>
          <w:rFonts w:asciiTheme="minorHAnsi" w:hAnsiTheme="minorHAnsi"/>
          <w:b/>
        </w:rPr>
        <w:t>Ve čtvrtek</w:t>
      </w:r>
      <w:r w:rsidR="006318FE" w:rsidRPr="001D70F5">
        <w:rPr>
          <w:rFonts w:asciiTheme="minorHAnsi" w:hAnsiTheme="minorHAnsi"/>
          <w:b/>
        </w:rPr>
        <w:t xml:space="preserve"> </w:t>
      </w:r>
      <w:r w:rsidRPr="001D70F5">
        <w:rPr>
          <w:rFonts w:asciiTheme="minorHAnsi" w:hAnsiTheme="minorHAnsi"/>
          <w:b/>
        </w:rPr>
        <w:t xml:space="preserve">15. </w:t>
      </w:r>
      <w:r w:rsidRPr="002024BE">
        <w:rPr>
          <w:rFonts w:asciiTheme="minorHAnsi" w:hAnsiTheme="minorHAnsi"/>
          <w:b/>
        </w:rPr>
        <w:t>února</w:t>
      </w:r>
      <w:r w:rsidR="00F01CD7" w:rsidRPr="002024BE">
        <w:rPr>
          <w:rFonts w:asciiTheme="minorHAnsi" w:hAnsiTheme="minorHAnsi"/>
          <w:b/>
        </w:rPr>
        <w:t xml:space="preserve"> </w:t>
      </w:r>
      <w:r w:rsidR="00855DA3" w:rsidRPr="002024BE">
        <w:rPr>
          <w:rFonts w:asciiTheme="minorHAnsi" w:hAnsiTheme="minorHAnsi"/>
          <w:b/>
        </w:rPr>
        <w:t>v 17 hodin představíme</w:t>
      </w:r>
      <w:r w:rsidR="001D70F5" w:rsidRPr="002024BE">
        <w:rPr>
          <w:rFonts w:asciiTheme="minorHAnsi" w:hAnsiTheme="minorHAnsi"/>
          <w:b/>
        </w:rPr>
        <w:t xml:space="preserve"> veřejnosti</w:t>
      </w:r>
      <w:r w:rsidR="00855DA3" w:rsidRPr="002024BE">
        <w:rPr>
          <w:rFonts w:asciiTheme="minorHAnsi" w:hAnsiTheme="minorHAnsi"/>
          <w:b/>
        </w:rPr>
        <w:t xml:space="preserve"> novou knihu </w:t>
      </w:r>
      <w:r w:rsidR="00855DA3" w:rsidRPr="002E41EA">
        <w:rPr>
          <w:rFonts w:asciiTheme="minorHAnsi" w:hAnsiTheme="minorHAnsi"/>
          <w:b/>
          <w:i/>
        </w:rPr>
        <w:t xml:space="preserve">Nádraží </w:t>
      </w:r>
      <w:r w:rsidR="002024BE" w:rsidRPr="002E41EA">
        <w:rPr>
          <w:rFonts w:asciiTheme="minorHAnsi" w:hAnsiTheme="minorHAnsi"/>
          <w:b/>
          <w:i/>
        </w:rPr>
        <w:t>Ostrava-Vítkovice</w:t>
      </w:r>
      <w:r w:rsidR="002024BE" w:rsidRPr="002024BE">
        <w:rPr>
          <w:rFonts w:asciiTheme="minorHAnsi" w:hAnsiTheme="minorHAnsi"/>
          <w:b/>
        </w:rPr>
        <w:t xml:space="preserve">, </w:t>
      </w:r>
      <w:r w:rsidR="002024BE" w:rsidRPr="007465EC">
        <w:rPr>
          <w:rFonts w:asciiTheme="minorHAnsi" w:hAnsiTheme="minorHAnsi"/>
          <w:b/>
        </w:rPr>
        <w:t>kterou vydal</w:t>
      </w:r>
      <w:r w:rsidR="00855DA3" w:rsidRPr="007465EC">
        <w:rPr>
          <w:rFonts w:asciiTheme="minorHAnsi" w:hAnsiTheme="minorHAnsi"/>
          <w:b/>
        </w:rPr>
        <w:t xml:space="preserve"> </w:t>
      </w:r>
      <w:r w:rsidR="002024BE" w:rsidRPr="007465EC">
        <w:rPr>
          <w:rFonts w:asciiTheme="minorHAnsi" w:hAnsiTheme="minorHAnsi"/>
          <w:b/>
        </w:rPr>
        <w:t>Národní památkový ústav</w:t>
      </w:r>
      <w:r w:rsidR="00E04E93">
        <w:rPr>
          <w:rFonts w:asciiTheme="minorHAnsi" w:hAnsiTheme="minorHAnsi"/>
          <w:b/>
        </w:rPr>
        <w:t xml:space="preserve"> </w:t>
      </w:r>
      <w:r w:rsidR="00E04E93" w:rsidRPr="008950FE">
        <w:rPr>
          <w:rFonts w:asciiTheme="minorHAnsi" w:hAnsiTheme="minorHAnsi"/>
          <w:b/>
        </w:rPr>
        <w:t>jako jed</w:t>
      </w:r>
      <w:r w:rsidR="008950FE">
        <w:rPr>
          <w:rFonts w:asciiTheme="minorHAnsi" w:hAnsiTheme="minorHAnsi"/>
          <w:b/>
        </w:rPr>
        <w:t>en z výsledků projektu zabývající se</w:t>
      </w:r>
      <w:r w:rsidR="00E04E93" w:rsidRPr="008950FE">
        <w:rPr>
          <w:rFonts w:asciiTheme="minorHAnsi" w:hAnsiTheme="minorHAnsi"/>
          <w:b/>
        </w:rPr>
        <w:t xml:space="preserve"> architekturou 60. a 70. let 20. století</w:t>
      </w:r>
      <w:r w:rsidR="007465EC" w:rsidRPr="008950FE">
        <w:rPr>
          <w:rFonts w:asciiTheme="minorHAnsi" w:hAnsiTheme="minorHAnsi"/>
          <w:b/>
        </w:rPr>
        <w:t xml:space="preserve">. </w:t>
      </w:r>
      <w:r w:rsidR="00855DA3" w:rsidRPr="008950FE">
        <w:rPr>
          <w:rFonts w:asciiTheme="minorHAnsi" w:hAnsiTheme="minorHAnsi"/>
          <w:b/>
        </w:rPr>
        <w:t xml:space="preserve">Hlavním </w:t>
      </w:r>
      <w:r w:rsidR="00855DA3" w:rsidRPr="007465EC">
        <w:rPr>
          <w:rFonts w:asciiTheme="minorHAnsi" w:hAnsiTheme="minorHAnsi"/>
          <w:b/>
        </w:rPr>
        <w:t>autorem</w:t>
      </w:r>
      <w:r w:rsidR="00272A10" w:rsidRPr="007465EC">
        <w:rPr>
          <w:rFonts w:asciiTheme="minorHAnsi" w:hAnsiTheme="minorHAnsi"/>
          <w:b/>
        </w:rPr>
        <w:t xml:space="preserve"> knihy</w:t>
      </w:r>
      <w:r w:rsidR="00855DA3" w:rsidRPr="007465EC">
        <w:rPr>
          <w:rFonts w:asciiTheme="minorHAnsi" w:hAnsiTheme="minorHAnsi"/>
          <w:b/>
        </w:rPr>
        <w:t xml:space="preserve"> je </w:t>
      </w:r>
      <w:r w:rsidR="008950FE">
        <w:rPr>
          <w:rFonts w:asciiTheme="minorHAnsi" w:hAnsiTheme="minorHAnsi"/>
          <w:b/>
        </w:rPr>
        <w:t>historik umění a </w:t>
      </w:r>
      <w:bookmarkStart w:id="0" w:name="_GoBack"/>
      <w:bookmarkEnd w:id="0"/>
      <w:r w:rsidR="00855DA3" w:rsidRPr="007465EC">
        <w:rPr>
          <w:rFonts w:asciiTheme="minorHAnsi" w:hAnsiTheme="minorHAnsi"/>
          <w:b/>
        </w:rPr>
        <w:t>památkář Martin Strakoš z ostravského odborného pracoviště Národního památkového ústavu</w:t>
      </w:r>
      <w:r w:rsidR="00A80274" w:rsidRPr="007465EC">
        <w:rPr>
          <w:rFonts w:asciiTheme="minorHAnsi" w:hAnsiTheme="minorHAnsi"/>
          <w:b/>
        </w:rPr>
        <w:t xml:space="preserve">. Na </w:t>
      </w:r>
      <w:r w:rsidR="00272A10" w:rsidRPr="007465EC">
        <w:rPr>
          <w:rFonts w:asciiTheme="minorHAnsi" w:hAnsiTheme="minorHAnsi"/>
          <w:b/>
        </w:rPr>
        <w:t>publikaci</w:t>
      </w:r>
      <w:r w:rsidR="00A80274" w:rsidRPr="007465EC">
        <w:rPr>
          <w:rFonts w:asciiTheme="minorHAnsi" w:hAnsiTheme="minorHAnsi"/>
          <w:b/>
        </w:rPr>
        <w:t xml:space="preserve"> se dále podíleli odborníci </w:t>
      </w:r>
      <w:r w:rsidR="00272A10" w:rsidRPr="007465EC">
        <w:rPr>
          <w:rFonts w:asciiTheme="minorHAnsi" w:hAnsiTheme="minorHAnsi"/>
          <w:b/>
        </w:rPr>
        <w:t xml:space="preserve">Fakulty stavební Vysokého učení technického v Brně, </w:t>
      </w:r>
      <w:r w:rsidR="00A80274" w:rsidRPr="007465EC">
        <w:rPr>
          <w:rFonts w:asciiTheme="minorHAnsi" w:hAnsiTheme="minorHAnsi"/>
          <w:b/>
        </w:rPr>
        <w:t>Fakulty stavební Českého vysokého učení technického</w:t>
      </w:r>
      <w:r w:rsidR="00272A10" w:rsidRPr="007465EC">
        <w:rPr>
          <w:rFonts w:asciiTheme="minorHAnsi" w:hAnsiTheme="minorHAnsi"/>
          <w:b/>
        </w:rPr>
        <w:t xml:space="preserve"> v Praze</w:t>
      </w:r>
      <w:r w:rsidR="007465EC" w:rsidRPr="007465EC">
        <w:rPr>
          <w:rFonts w:asciiTheme="minorHAnsi" w:hAnsiTheme="minorHAnsi"/>
          <w:b/>
        </w:rPr>
        <w:t>, Ústavu teoretické a </w:t>
      </w:r>
      <w:r w:rsidR="00A80274" w:rsidRPr="007465EC">
        <w:rPr>
          <w:rFonts w:asciiTheme="minorHAnsi" w:hAnsiTheme="minorHAnsi"/>
          <w:b/>
        </w:rPr>
        <w:t>aplikované mechaniky Akademie věd ČR a další</w:t>
      </w:r>
      <w:r w:rsidR="00855DA3" w:rsidRPr="007465EC">
        <w:rPr>
          <w:rFonts w:asciiTheme="minorHAnsi" w:hAnsiTheme="minorHAnsi"/>
          <w:b/>
        </w:rPr>
        <w:t>.</w:t>
      </w:r>
      <w:r w:rsidR="000329C6" w:rsidRPr="007465EC">
        <w:rPr>
          <w:rFonts w:asciiTheme="minorHAnsi" w:hAnsiTheme="minorHAnsi"/>
          <w:b/>
        </w:rPr>
        <w:t xml:space="preserve"> </w:t>
      </w:r>
      <w:r w:rsidR="00272A10" w:rsidRPr="007465EC">
        <w:rPr>
          <w:rFonts w:asciiTheme="minorHAnsi" w:hAnsiTheme="minorHAnsi"/>
          <w:b/>
        </w:rPr>
        <w:t>Svazek se zaměřuje</w:t>
      </w:r>
      <w:r w:rsidR="001D70F5" w:rsidRPr="007465EC">
        <w:rPr>
          <w:rFonts w:asciiTheme="minorHAnsi" w:hAnsiTheme="minorHAnsi"/>
          <w:b/>
        </w:rPr>
        <w:t xml:space="preserve"> na</w:t>
      </w:r>
      <w:r w:rsidR="000329C6" w:rsidRPr="007465EC">
        <w:rPr>
          <w:rFonts w:asciiTheme="minorHAnsi" w:hAnsiTheme="minorHAnsi"/>
          <w:b/>
        </w:rPr>
        <w:t xml:space="preserve"> </w:t>
      </w:r>
      <w:r w:rsidR="001D70F5" w:rsidRPr="007465EC">
        <w:rPr>
          <w:rFonts w:asciiTheme="minorHAnsi" w:hAnsiTheme="minorHAnsi"/>
          <w:b/>
        </w:rPr>
        <w:t>historii, architektur</w:t>
      </w:r>
      <w:r w:rsidR="000329C6" w:rsidRPr="007465EC">
        <w:rPr>
          <w:rFonts w:asciiTheme="minorHAnsi" w:hAnsiTheme="minorHAnsi"/>
          <w:b/>
        </w:rPr>
        <w:t>u</w:t>
      </w:r>
      <w:r w:rsidR="001D70F5" w:rsidRPr="007465EC">
        <w:rPr>
          <w:rFonts w:asciiTheme="minorHAnsi" w:hAnsiTheme="minorHAnsi"/>
          <w:b/>
        </w:rPr>
        <w:t>, umění, konstrukční utváření, materiály a </w:t>
      </w:r>
      <w:r w:rsidR="00A80274" w:rsidRPr="007465EC">
        <w:rPr>
          <w:rFonts w:asciiTheme="minorHAnsi" w:hAnsiTheme="minorHAnsi"/>
          <w:b/>
        </w:rPr>
        <w:t>jiné</w:t>
      </w:r>
      <w:r w:rsidR="000329C6" w:rsidRPr="007465EC">
        <w:rPr>
          <w:rFonts w:asciiTheme="minorHAnsi" w:hAnsiTheme="minorHAnsi"/>
          <w:b/>
        </w:rPr>
        <w:t xml:space="preserve"> aspekty řešení výpravní budovy železniční stanice Ostrava-Ví</w:t>
      </w:r>
      <w:r w:rsidR="002024BE" w:rsidRPr="007465EC">
        <w:rPr>
          <w:rFonts w:asciiTheme="minorHAnsi" w:hAnsiTheme="minorHAnsi"/>
          <w:b/>
        </w:rPr>
        <w:t>tkovice. Tato stavba architekta</w:t>
      </w:r>
      <w:r w:rsidR="001D70F5" w:rsidRPr="007465EC">
        <w:rPr>
          <w:rFonts w:asciiTheme="minorHAnsi" w:hAnsiTheme="minorHAnsi"/>
          <w:b/>
        </w:rPr>
        <w:t xml:space="preserve"> Josefa Dandy</w:t>
      </w:r>
      <w:r w:rsidR="004443FC" w:rsidRPr="007465EC">
        <w:rPr>
          <w:rFonts w:asciiTheme="minorHAnsi" w:hAnsiTheme="minorHAnsi"/>
          <w:b/>
        </w:rPr>
        <w:t xml:space="preserve"> </w:t>
      </w:r>
      <w:r w:rsidR="001D70F5" w:rsidRPr="007465EC">
        <w:rPr>
          <w:rFonts w:asciiTheme="minorHAnsi" w:hAnsiTheme="minorHAnsi"/>
          <w:b/>
        </w:rPr>
        <w:t>budovaná v letech</w:t>
      </w:r>
      <w:r w:rsidR="000329C6" w:rsidRPr="007465EC">
        <w:rPr>
          <w:rFonts w:asciiTheme="minorHAnsi" w:hAnsiTheme="minorHAnsi"/>
          <w:b/>
        </w:rPr>
        <w:t xml:space="preserve"> 1964 až 1967 představovala ve své době jedno z nejmodernějších </w:t>
      </w:r>
      <w:r w:rsidR="003D06C3" w:rsidRPr="007465EC">
        <w:rPr>
          <w:rFonts w:asciiTheme="minorHAnsi" w:hAnsiTheme="minorHAnsi"/>
          <w:b/>
        </w:rPr>
        <w:t>nádraží v Československu.</w:t>
      </w:r>
      <w:r w:rsidR="002024BE" w:rsidRPr="007465EC">
        <w:rPr>
          <w:rFonts w:asciiTheme="minorHAnsi" w:hAnsiTheme="minorHAnsi"/>
          <w:b/>
        </w:rPr>
        <w:t xml:space="preserve"> </w:t>
      </w:r>
    </w:p>
    <w:p w:rsidR="001D70F5" w:rsidRDefault="001D70F5" w:rsidP="006318FE">
      <w:pPr>
        <w:jc w:val="both"/>
        <w:rPr>
          <w:rFonts w:asciiTheme="minorHAnsi" w:hAnsiTheme="minorHAnsi"/>
          <w:b/>
        </w:rPr>
      </w:pPr>
    </w:p>
    <w:p w:rsidR="002E41EA" w:rsidRPr="002E41EA" w:rsidRDefault="002E41EA" w:rsidP="006318FE">
      <w:pPr>
        <w:jc w:val="both"/>
        <w:rPr>
          <w:rFonts w:asciiTheme="minorHAnsi" w:hAnsiTheme="minorHAnsi"/>
          <w:b/>
          <w:sz w:val="22"/>
          <w:szCs w:val="22"/>
        </w:rPr>
      </w:pPr>
      <w:r w:rsidRPr="007465EC">
        <w:rPr>
          <w:rFonts w:asciiTheme="minorHAnsi" w:hAnsiTheme="minorHAnsi"/>
          <w:sz w:val="22"/>
          <w:szCs w:val="22"/>
        </w:rPr>
        <w:t xml:space="preserve">Železniční stanice Ostrava-Vítkovice a konkrétně tamní výpravní budova je snad prvním nádražím, které má </w:t>
      </w:r>
      <w:r w:rsidR="00A80274" w:rsidRPr="007465EC">
        <w:rPr>
          <w:rFonts w:asciiTheme="minorHAnsi" w:hAnsiTheme="minorHAnsi"/>
          <w:sz w:val="22"/>
          <w:szCs w:val="22"/>
        </w:rPr>
        <w:t>takto rozsáhlou</w:t>
      </w:r>
      <w:r w:rsidRPr="007465EC">
        <w:rPr>
          <w:rFonts w:asciiTheme="minorHAnsi" w:hAnsiTheme="minorHAnsi"/>
          <w:sz w:val="22"/>
          <w:szCs w:val="22"/>
        </w:rPr>
        <w:t xml:space="preserve"> monografickou publikaci. Kniha </w:t>
      </w:r>
      <w:r w:rsidRPr="007465EC">
        <w:rPr>
          <w:rFonts w:asciiTheme="minorHAnsi" w:hAnsiTheme="minorHAnsi"/>
          <w:i/>
          <w:iCs/>
          <w:sz w:val="22"/>
          <w:szCs w:val="22"/>
        </w:rPr>
        <w:t>Nádraží Ostrava-Vítkovice. Historie – architektura – památkový potenciál</w:t>
      </w:r>
      <w:r w:rsidRPr="007465EC">
        <w:rPr>
          <w:rFonts w:asciiTheme="minorHAnsi" w:hAnsiTheme="minorHAnsi"/>
          <w:sz w:val="22"/>
          <w:szCs w:val="22"/>
        </w:rPr>
        <w:t xml:space="preserve"> představuje konkrétní výstup z celostátně řešeného vědeckého projektu NAKI II, zaměřeného v tomto případě na architekturu 2. polovi</w:t>
      </w:r>
      <w:r w:rsidR="00815AB7">
        <w:rPr>
          <w:rFonts w:asciiTheme="minorHAnsi" w:hAnsiTheme="minorHAnsi"/>
          <w:sz w:val="22"/>
          <w:szCs w:val="22"/>
        </w:rPr>
        <w:t>ny 20. století a její hodnoty v </w:t>
      </w:r>
      <w:r w:rsidRPr="007465EC">
        <w:rPr>
          <w:rFonts w:asciiTheme="minorHAnsi" w:hAnsiTheme="minorHAnsi"/>
          <w:sz w:val="22"/>
          <w:szCs w:val="22"/>
        </w:rPr>
        <w:t xml:space="preserve">kontextu památkové péče. Je to </w:t>
      </w:r>
      <w:r w:rsidR="00272A10" w:rsidRPr="007465EC">
        <w:rPr>
          <w:rFonts w:asciiTheme="minorHAnsi" w:hAnsiTheme="minorHAnsi"/>
          <w:sz w:val="22"/>
          <w:szCs w:val="22"/>
        </w:rPr>
        <w:t xml:space="preserve">první </w:t>
      </w:r>
      <w:r w:rsidRPr="007465EC">
        <w:rPr>
          <w:rFonts w:asciiTheme="minorHAnsi" w:hAnsiTheme="minorHAnsi"/>
          <w:sz w:val="22"/>
          <w:szCs w:val="22"/>
        </w:rPr>
        <w:t>publikace</w:t>
      </w:r>
      <w:r w:rsidRPr="002E41EA">
        <w:rPr>
          <w:rFonts w:asciiTheme="minorHAnsi" w:hAnsiTheme="minorHAnsi"/>
          <w:sz w:val="22"/>
          <w:szCs w:val="22"/>
        </w:rPr>
        <w:t xml:space="preserve"> ediční řady, v níž vyjdou v následujících letech monografie dalších důležitých staveb uvedeného období.</w:t>
      </w:r>
    </w:p>
    <w:p w:rsidR="007F072D" w:rsidRPr="002E41EA" w:rsidRDefault="007F072D" w:rsidP="007F072D">
      <w:pPr>
        <w:rPr>
          <w:rFonts w:asciiTheme="minorHAnsi" w:hAnsiTheme="minorHAnsi"/>
          <w:sz w:val="22"/>
          <w:szCs w:val="22"/>
        </w:rPr>
      </w:pPr>
    </w:p>
    <w:p w:rsidR="007F072D" w:rsidRPr="002E41EA" w:rsidRDefault="007F072D" w:rsidP="007F072D">
      <w:pPr>
        <w:jc w:val="both"/>
        <w:rPr>
          <w:rFonts w:asciiTheme="minorHAnsi" w:hAnsiTheme="minorHAnsi"/>
          <w:sz w:val="22"/>
          <w:szCs w:val="22"/>
        </w:rPr>
      </w:pPr>
      <w:r w:rsidRPr="00A80274">
        <w:rPr>
          <w:rFonts w:asciiTheme="minorHAnsi" w:hAnsiTheme="minorHAnsi"/>
          <w:i/>
          <w:sz w:val="22"/>
          <w:szCs w:val="22"/>
        </w:rPr>
        <w:t>„</w:t>
      </w:r>
      <w:r w:rsidR="002E41EA" w:rsidRPr="00A80274">
        <w:rPr>
          <w:rFonts w:asciiTheme="minorHAnsi" w:hAnsiTheme="minorHAnsi"/>
          <w:i/>
          <w:iCs/>
          <w:sz w:val="22"/>
          <w:szCs w:val="22"/>
        </w:rPr>
        <w:t>Za autorský kolektiv, podílející se na přípravě tohoto svazku o 256 stranách, mohu snad vyjádřit přání, aby kniha přispěla k osvětě a tudíž i k ochraně příkladů architektury 2. poloviny 20. století</w:t>
      </w:r>
      <w:r w:rsidR="001D70F5" w:rsidRPr="00A80274">
        <w:rPr>
          <w:rFonts w:asciiTheme="minorHAnsi" w:hAnsiTheme="minorHAnsi"/>
          <w:i/>
          <w:sz w:val="22"/>
          <w:szCs w:val="22"/>
        </w:rPr>
        <w:t>,“</w:t>
      </w:r>
      <w:r w:rsidR="001D70F5" w:rsidRPr="002E41EA">
        <w:rPr>
          <w:rFonts w:asciiTheme="minorHAnsi" w:hAnsiTheme="minorHAnsi"/>
          <w:sz w:val="22"/>
          <w:szCs w:val="22"/>
        </w:rPr>
        <w:t xml:space="preserve"> říká Martin Strakoš z ostravského odborného pracoviště </w:t>
      </w:r>
      <w:r w:rsidRPr="002E41EA">
        <w:rPr>
          <w:rFonts w:asciiTheme="minorHAnsi" w:hAnsiTheme="minorHAnsi"/>
          <w:sz w:val="22"/>
          <w:szCs w:val="22"/>
        </w:rPr>
        <w:t xml:space="preserve">Národního </w:t>
      </w:r>
      <w:r w:rsidR="001D70F5" w:rsidRPr="002E41EA">
        <w:rPr>
          <w:rFonts w:asciiTheme="minorHAnsi" w:hAnsiTheme="minorHAnsi"/>
          <w:sz w:val="22"/>
          <w:szCs w:val="22"/>
        </w:rPr>
        <w:t>památkového ústavu</w:t>
      </w:r>
      <w:r w:rsidRPr="002E41EA">
        <w:rPr>
          <w:rFonts w:asciiTheme="minorHAnsi" w:hAnsiTheme="minorHAnsi"/>
          <w:sz w:val="22"/>
          <w:szCs w:val="22"/>
        </w:rPr>
        <w:t xml:space="preserve">. </w:t>
      </w:r>
      <w:r w:rsidRPr="00A80274">
        <w:rPr>
          <w:rFonts w:asciiTheme="minorHAnsi" w:hAnsiTheme="minorHAnsi"/>
          <w:i/>
          <w:sz w:val="22"/>
          <w:szCs w:val="22"/>
        </w:rPr>
        <w:t>„</w:t>
      </w:r>
      <w:r w:rsidR="002E41EA" w:rsidRPr="00A80274">
        <w:rPr>
          <w:rFonts w:asciiTheme="minorHAnsi" w:hAnsiTheme="minorHAnsi"/>
          <w:i/>
          <w:iCs/>
          <w:sz w:val="22"/>
          <w:szCs w:val="22"/>
        </w:rPr>
        <w:t xml:space="preserve">Konkrétně by se z ní mohl </w:t>
      </w:r>
      <w:r w:rsidR="002E41EA" w:rsidRPr="00A80274">
        <w:rPr>
          <w:rStyle w:val="object"/>
          <w:rFonts w:asciiTheme="minorHAnsi" w:hAnsiTheme="minorHAnsi"/>
          <w:i/>
          <w:iCs/>
          <w:sz w:val="22"/>
          <w:szCs w:val="22"/>
        </w:rPr>
        <w:t>st</w:t>
      </w:r>
      <w:r w:rsidR="002E41EA" w:rsidRPr="00A80274">
        <w:rPr>
          <w:rFonts w:asciiTheme="minorHAnsi" w:hAnsiTheme="minorHAnsi"/>
          <w:i/>
          <w:iCs/>
          <w:sz w:val="22"/>
          <w:szCs w:val="22"/>
        </w:rPr>
        <w:t>át jeden z dílků budoucí záchrany a památkově citlivé obnovy vítkovického nádraží včetně jeho konverze pro nové využití</w:t>
      </w:r>
      <w:r w:rsidR="001D70F5" w:rsidRPr="00A80274">
        <w:rPr>
          <w:rFonts w:asciiTheme="minorHAnsi" w:hAnsiTheme="minorHAnsi"/>
          <w:i/>
          <w:sz w:val="22"/>
          <w:szCs w:val="22"/>
        </w:rPr>
        <w:t>,“</w:t>
      </w:r>
      <w:r w:rsidR="001D70F5" w:rsidRPr="002E41EA">
        <w:rPr>
          <w:rFonts w:asciiTheme="minorHAnsi" w:hAnsiTheme="minorHAnsi"/>
          <w:sz w:val="22"/>
          <w:szCs w:val="22"/>
        </w:rPr>
        <w:t xml:space="preserve"> dodává Martin Strakoš</w:t>
      </w:r>
      <w:r w:rsidRPr="002E41EA">
        <w:rPr>
          <w:rFonts w:asciiTheme="minorHAnsi" w:hAnsiTheme="minorHAnsi"/>
          <w:sz w:val="22"/>
          <w:szCs w:val="22"/>
        </w:rPr>
        <w:t>.</w:t>
      </w:r>
    </w:p>
    <w:p w:rsidR="007D097B" w:rsidRDefault="007D097B" w:rsidP="007D097B">
      <w:pPr>
        <w:rPr>
          <w:rFonts w:ascii="Calibri" w:hAnsi="Calibri" w:cs="Arial"/>
          <w:sz w:val="22"/>
          <w:szCs w:val="22"/>
        </w:rPr>
      </w:pPr>
    </w:p>
    <w:p w:rsidR="002024BE" w:rsidRDefault="002024BE" w:rsidP="002024BE">
      <w:pPr>
        <w:pStyle w:val="Odstavecseseznamem2"/>
        <w:spacing w:after="0" w:line="240" w:lineRule="auto"/>
        <w:ind w:left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Svazek se skládá</w:t>
      </w:r>
      <w:r w:rsidRPr="002024BE">
        <w:rPr>
          <w:b w:val="0"/>
          <w:color w:val="000000" w:themeColor="text1"/>
        </w:rPr>
        <w:t xml:space="preserve"> ze čtyř bloků. První se věnuje architektuře po ro</w:t>
      </w:r>
      <w:r>
        <w:rPr>
          <w:b w:val="0"/>
          <w:color w:val="000000" w:themeColor="text1"/>
        </w:rPr>
        <w:t>ce 1945 ve vztahu k železnici a </w:t>
      </w:r>
      <w:r w:rsidRPr="002024BE">
        <w:rPr>
          <w:b w:val="0"/>
          <w:color w:val="000000" w:themeColor="text1"/>
        </w:rPr>
        <w:t xml:space="preserve">výstavbě </w:t>
      </w:r>
      <w:proofErr w:type="spellStart"/>
      <w:r w:rsidRPr="002024BE">
        <w:rPr>
          <w:b w:val="0"/>
          <w:color w:val="000000" w:themeColor="text1"/>
        </w:rPr>
        <w:t>polanecké</w:t>
      </w:r>
      <w:proofErr w:type="spellEnd"/>
      <w:r w:rsidRPr="002024BE">
        <w:rPr>
          <w:b w:val="0"/>
          <w:color w:val="000000" w:themeColor="text1"/>
        </w:rPr>
        <w:t xml:space="preserve"> spojky. Právě na této trati vznikla výše zmíněná stanice, jejíž výpravní budovou se podrobně zabývá druhý blok, zaměřený na architekturu, uměleckou výzdobu, otázky památkové péče i kontext díla architekta Josefa Dandy. Oba bloky napsal hlavní autor publikace.</w:t>
      </w:r>
    </w:p>
    <w:p w:rsidR="002024BE" w:rsidRDefault="002024BE" w:rsidP="002024BE">
      <w:pPr>
        <w:pStyle w:val="Odstavecseseznamem2"/>
        <w:spacing w:after="0" w:line="240" w:lineRule="auto"/>
        <w:ind w:left="0"/>
        <w:jc w:val="both"/>
        <w:rPr>
          <w:b w:val="0"/>
          <w:color w:val="000000" w:themeColor="text1"/>
        </w:rPr>
      </w:pPr>
      <w:r w:rsidRPr="007465EC">
        <w:rPr>
          <w:b w:val="0"/>
          <w:color w:val="000000" w:themeColor="text1"/>
        </w:rPr>
        <w:t>Třetí blok je výsledkem studia materiálového a konstrukčního utváření výpravní budovy, případně</w:t>
      </w:r>
      <w:r w:rsidR="00A80274" w:rsidRPr="007465EC">
        <w:rPr>
          <w:b w:val="0"/>
          <w:color w:val="000000" w:themeColor="text1"/>
        </w:rPr>
        <w:t xml:space="preserve"> se zde řeší</w:t>
      </w:r>
      <w:r w:rsidRPr="007465EC">
        <w:rPr>
          <w:b w:val="0"/>
          <w:color w:val="000000" w:themeColor="text1"/>
        </w:rPr>
        <w:t xml:space="preserve"> příklady nového využití drážních staveb. Tým vědců z Vysokého učení technického</w:t>
      </w:r>
      <w:r w:rsidRPr="002024BE">
        <w:rPr>
          <w:b w:val="0"/>
          <w:color w:val="000000" w:themeColor="text1"/>
        </w:rPr>
        <w:t xml:space="preserve"> v Brně analyzoval železobetonovou konstrukci budovy, o čemž pojednává první kapitola této části knihy. Ocelovou konstrukcí se zabývá druhá kapitola, zpracovaná odborníky z Fakulty stavební Českého vysokého učení technického v Praze. Třetí kapitola, napsaná pracovníky Ústavu teoretické a aplikované mechaniky Akademie věd ČR, se podrobněji věnuje možnostem modelování budovy technologií B</w:t>
      </w:r>
      <w:r>
        <w:rPr>
          <w:b w:val="0"/>
          <w:color w:val="000000" w:themeColor="text1"/>
        </w:rPr>
        <w:t>IM a uplatnění těchto postupů v </w:t>
      </w:r>
      <w:r w:rsidRPr="002024BE">
        <w:rPr>
          <w:b w:val="0"/>
          <w:color w:val="000000" w:themeColor="text1"/>
        </w:rPr>
        <w:t>památkové péči</w:t>
      </w:r>
      <w:r w:rsidRPr="002024BE">
        <w:rPr>
          <w:b w:val="0"/>
        </w:rPr>
        <w:t xml:space="preserve">. </w:t>
      </w:r>
      <w:r w:rsidRPr="002024BE">
        <w:rPr>
          <w:b w:val="0"/>
          <w:color w:val="000000" w:themeColor="text1"/>
        </w:rPr>
        <w:t>Čtvrtá kapitola, opět z prostředí ČVUT, představuje realizovan</w:t>
      </w:r>
      <w:r>
        <w:rPr>
          <w:b w:val="0"/>
          <w:color w:val="000000" w:themeColor="text1"/>
        </w:rPr>
        <w:t>é konverze a </w:t>
      </w:r>
      <w:r w:rsidRPr="002024BE">
        <w:rPr>
          <w:b w:val="0"/>
          <w:color w:val="000000" w:themeColor="text1"/>
        </w:rPr>
        <w:t xml:space="preserve">revitalizace nádražních ploch a objektů. </w:t>
      </w:r>
    </w:p>
    <w:p w:rsidR="008A7439" w:rsidRDefault="002024BE" w:rsidP="002024BE">
      <w:pPr>
        <w:pStyle w:val="Odstavecseseznamem2"/>
        <w:spacing w:after="0" w:line="240" w:lineRule="auto"/>
        <w:ind w:left="0"/>
        <w:jc w:val="both"/>
        <w:rPr>
          <w:b w:val="0"/>
          <w:color w:val="000000" w:themeColor="text1"/>
        </w:rPr>
      </w:pPr>
      <w:r w:rsidRPr="002024BE">
        <w:rPr>
          <w:b w:val="0"/>
          <w:color w:val="000000" w:themeColor="text1"/>
        </w:rPr>
        <w:t>Závěrečný čtvrtý blok, nazvaný Dokumenty, obsahuje dva rozhovory. První se týká provozu železniční stanice, neboť zpovídaným je bývalý přednosta stanice Vladimír K</w:t>
      </w:r>
      <w:r>
        <w:rPr>
          <w:b w:val="0"/>
          <w:color w:val="000000" w:themeColor="text1"/>
        </w:rPr>
        <w:t xml:space="preserve">utý. Druhý rozhovor s malířem </w:t>
      </w:r>
      <w:r>
        <w:rPr>
          <w:b w:val="0"/>
          <w:color w:val="000000" w:themeColor="text1"/>
        </w:rPr>
        <w:lastRenderedPageBreak/>
        <w:t>a </w:t>
      </w:r>
      <w:r w:rsidRPr="002024BE">
        <w:rPr>
          <w:b w:val="0"/>
          <w:color w:val="000000" w:themeColor="text1"/>
        </w:rPr>
        <w:t>sklářem Vladimírem K</w:t>
      </w:r>
      <w:r>
        <w:rPr>
          <w:b w:val="0"/>
          <w:color w:val="000000" w:themeColor="text1"/>
        </w:rPr>
        <w:t>opeckým pojednává krom</w:t>
      </w:r>
      <w:r w:rsidR="008A7439">
        <w:rPr>
          <w:b w:val="0"/>
          <w:color w:val="000000" w:themeColor="text1"/>
        </w:rPr>
        <w:t>ě</w:t>
      </w:r>
      <w:r>
        <w:rPr>
          <w:b w:val="0"/>
          <w:color w:val="000000" w:themeColor="text1"/>
        </w:rPr>
        <w:t xml:space="preserve"> jiného o </w:t>
      </w:r>
      <w:r w:rsidRPr="002024BE">
        <w:rPr>
          <w:b w:val="0"/>
          <w:color w:val="000000" w:themeColor="text1"/>
        </w:rPr>
        <w:t xml:space="preserve">výzdobě vítkovického nádraží a procesu vzniku výtvarných děl. </w:t>
      </w:r>
    </w:p>
    <w:p w:rsidR="002024BE" w:rsidRDefault="002024BE" w:rsidP="002024BE">
      <w:pPr>
        <w:pStyle w:val="Odstavecseseznamem2"/>
        <w:spacing w:after="0" w:line="240" w:lineRule="auto"/>
        <w:ind w:left="0"/>
        <w:jc w:val="both"/>
        <w:rPr>
          <w:b w:val="0"/>
          <w:color w:val="000000" w:themeColor="text1"/>
        </w:rPr>
      </w:pPr>
      <w:r w:rsidRPr="002024BE">
        <w:rPr>
          <w:b w:val="0"/>
          <w:color w:val="000000" w:themeColor="text1"/>
        </w:rPr>
        <w:t>Závěr obsah</w:t>
      </w:r>
      <w:r>
        <w:rPr>
          <w:b w:val="0"/>
          <w:color w:val="000000" w:themeColor="text1"/>
        </w:rPr>
        <w:t>uje seznam pramenů a </w:t>
      </w:r>
      <w:r w:rsidRPr="002024BE">
        <w:rPr>
          <w:b w:val="0"/>
          <w:color w:val="000000" w:themeColor="text1"/>
        </w:rPr>
        <w:t xml:space="preserve">literatury a anglické resumé. </w:t>
      </w:r>
    </w:p>
    <w:p w:rsidR="004443FC" w:rsidRPr="004443FC" w:rsidRDefault="004443FC" w:rsidP="004443FC">
      <w:pPr>
        <w:pStyle w:val="Odstavecseseznamem2"/>
        <w:spacing w:after="0" w:line="240" w:lineRule="auto"/>
        <w:ind w:left="0"/>
        <w:rPr>
          <w:rFonts w:asciiTheme="minorHAnsi" w:hAnsiTheme="minorHAnsi"/>
          <w:b w:val="0"/>
          <w:color w:val="000000" w:themeColor="text1"/>
        </w:rPr>
      </w:pPr>
      <w:r w:rsidRPr="004443FC">
        <w:rPr>
          <w:rFonts w:asciiTheme="minorHAnsi" w:hAnsiTheme="minorHAnsi"/>
          <w:b w:val="0"/>
          <w:color w:val="000000" w:themeColor="text1"/>
        </w:rPr>
        <w:t xml:space="preserve">Texty doprovázejí </w:t>
      </w:r>
      <w:r w:rsidR="008A7439">
        <w:rPr>
          <w:rFonts w:asciiTheme="minorHAnsi" w:hAnsiTheme="minorHAnsi"/>
          <w:b w:val="0"/>
          <w:color w:val="000000" w:themeColor="text1"/>
        </w:rPr>
        <w:t>k</w:t>
      </w:r>
      <w:r w:rsidRPr="004443FC">
        <w:rPr>
          <w:rFonts w:asciiTheme="minorHAnsi" w:hAnsiTheme="minorHAnsi"/>
          <w:b w:val="0"/>
          <w:color w:val="000000" w:themeColor="text1"/>
        </w:rPr>
        <w:t xml:space="preserve">romě archivních dokumentů </w:t>
      </w:r>
      <w:r w:rsidR="008A7439">
        <w:rPr>
          <w:rFonts w:asciiTheme="minorHAnsi" w:hAnsiTheme="minorHAnsi"/>
          <w:b w:val="0"/>
          <w:color w:val="000000" w:themeColor="text1"/>
        </w:rPr>
        <w:t>také</w:t>
      </w:r>
      <w:r w:rsidRPr="004443FC">
        <w:rPr>
          <w:rFonts w:asciiTheme="minorHAnsi" w:hAnsiTheme="minorHAnsi"/>
          <w:b w:val="0"/>
          <w:color w:val="000000" w:themeColor="text1"/>
        </w:rPr>
        <w:t xml:space="preserve"> snímky současného stavu budovy od fotografa Romana Poláška. Graficky knihu upravil Martin Feikus.   </w:t>
      </w:r>
    </w:p>
    <w:p w:rsidR="002E41EA" w:rsidRDefault="002E41EA" w:rsidP="004443FC">
      <w:pPr>
        <w:pStyle w:val="Odstavecseseznamem2"/>
        <w:spacing w:after="0" w:line="240" w:lineRule="auto"/>
        <w:ind w:left="0"/>
        <w:jc w:val="both"/>
        <w:rPr>
          <w:b w:val="0"/>
          <w:color w:val="000000" w:themeColor="text1"/>
        </w:rPr>
      </w:pPr>
    </w:p>
    <w:p w:rsidR="004443FC" w:rsidRPr="008A7439" w:rsidRDefault="008A7439" w:rsidP="004443FC">
      <w:pPr>
        <w:pStyle w:val="Odstavecseseznamem2"/>
        <w:spacing w:after="0" w:line="240" w:lineRule="auto"/>
        <w:ind w:left="0"/>
        <w:jc w:val="both"/>
        <w:rPr>
          <w:color w:val="000000" w:themeColor="text1"/>
        </w:rPr>
      </w:pPr>
      <w:r w:rsidRPr="007465EC">
        <w:rPr>
          <w:color w:val="000000" w:themeColor="text1"/>
        </w:rPr>
        <w:t>Knihu lze zakoupit v</w:t>
      </w:r>
      <w:r w:rsidR="002E41EA" w:rsidRPr="007465EC">
        <w:rPr>
          <w:color w:val="000000" w:themeColor="text1"/>
        </w:rPr>
        <w:t xml:space="preserve"> sídle ostravského pracoviště</w:t>
      </w:r>
      <w:r w:rsidRPr="007465EC">
        <w:rPr>
          <w:color w:val="000000" w:themeColor="text1"/>
        </w:rPr>
        <w:t xml:space="preserve"> Národního památkového ústavu </w:t>
      </w:r>
      <w:r w:rsidR="007465EC">
        <w:rPr>
          <w:color w:val="000000" w:themeColor="text1"/>
        </w:rPr>
        <w:t xml:space="preserve">na akci </w:t>
      </w:r>
      <w:r w:rsidRPr="007465EC">
        <w:rPr>
          <w:color w:val="000000" w:themeColor="text1"/>
        </w:rPr>
        <w:t>15. února za cenu 461 Kč.</w:t>
      </w: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Pr="00815AB7" w:rsidRDefault="00272A10" w:rsidP="008859F9">
      <w:pPr>
        <w:jc w:val="both"/>
        <w:rPr>
          <w:rFonts w:ascii="Calibri" w:hAnsi="Calibri"/>
          <w:i/>
          <w:sz w:val="22"/>
          <w:szCs w:val="22"/>
        </w:rPr>
      </w:pPr>
      <w:r w:rsidRPr="00815AB7">
        <w:rPr>
          <w:rFonts w:ascii="Calibri" w:hAnsi="Calibri"/>
          <w:i/>
          <w:color w:val="000000" w:themeColor="text1"/>
          <w:sz w:val="22"/>
          <w:szCs w:val="22"/>
        </w:rPr>
        <w:t xml:space="preserve">Kniha Nádraží Ostrava-Vítkovice, s podtitulem Historie / architektura / památkový potenciál </w:t>
      </w:r>
      <w:r w:rsidRPr="00815AB7">
        <w:rPr>
          <w:rFonts w:ascii="Calibri" w:hAnsi="Calibri"/>
          <w:i/>
          <w:sz w:val="22"/>
          <w:szCs w:val="22"/>
        </w:rPr>
        <w:t xml:space="preserve">je dílčím výstupem </w:t>
      </w:r>
      <w:r w:rsidRPr="00815AB7">
        <w:rPr>
          <w:rFonts w:ascii="Calibri" w:hAnsi="Calibri"/>
          <w:i/>
          <w:color w:val="000000" w:themeColor="text1"/>
          <w:sz w:val="22"/>
          <w:szCs w:val="22"/>
        </w:rPr>
        <w:t xml:space="preserve">projektu „Analýza a prezentace hodnot moderní architektury 60. a 70. let 20. století jako součásti národní a kulturní identity ČR“ </w:t>
      </w:r>
      <w:r w:rsidRPr="00815AB7">
        <w:rPr>
          <w:rFonts w:ascii="Calibri" w:hAnsi="Calibri"/>
          <w:i/>
          <w:sz w:val="22"/>
          <w:szCs w:val="22"/>
        </w:rPr>
        <w:t xml:space="preserve">v rámci programu </w:t>
      </w:r>
      <w:r w:rsidRPr="00815AB7">
        <w:rPr>
          <w:rFonts w:ascii="Calibri" w:hAnsi="Calibri"/>
          <w:i/>
          <w:color w:val="000000" w:themeColor="text1"/>
          <w:sz w:val="22"/>
          <w:szCs w:val="22"/>
        </w:rPr>
        <w:t>NAKI II.</w:t>
      </w: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  <w:noProof/>
        </w:rPr>
      </w:pPr>
    </w:p>
    <w:p w:rsidR="00815AB7" w:rsidRDefault="00815AB7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F072D" w:rsidRDefault="007F072D" w:rsidP="008859F9">
      <w:pPr>
        <w:jc w:val="both"/>
        <w:rPr>
          <w:rFonts w:asciiTheme="minorHAnsi" w:hAnsiTheme="minorHAnsi"/>
          <w:i/>
        </w:rPr>
      </w:pPr>
    </w:p>
    <w:p w:rsidR="007465EC" w:rsidRDefault="007465EC" w:rsidP="008859F9">
      <w:pPr>
        <w:jc w:val="both"/>
        <w:rPr>
          <w:rFonts w:asciiTheme="minorHAnsi" w:hAnsiTheme="minorHAnsi"/>
          <w:i/>
        </w:rPr>
      </w:pPr>
    </w:p>
    <w:p w:rsidR="00815AB7" w:rsidRDefault="00815AB7" w:rsidP="008859F9">
      <w:pPr>
        <w:jc w:val="both"/>
        <w:rPr>
          <w:rFonts w:asciiTheme="minorHAnsi" w:hAnsiTheme="minorHAnsi"/>
          <w:i/>
        </w:rPr>
      </w:pPr>
    </w:p>
    <w:p w:rsidR="00815AB7" w:rsidRDefault="00815AB7" w:rsidP="008859F9">
      <w:pPr>
        <w:jc w:val="both"/>
        <w:rPr>
          <w:rFonts w:asciiTheme="minorHAnsi" w:hAnsiTheme="minorHAnsi"/>
          <w:i/>
        </w:rPr>
      </w:pPr>
    </w:p>
    <w:p w:rsidR="007465EC" w:rsidRDefault="007465EC" w:rsidP="008859F9">
      <w:pPr>
        <w:jc w:val="both"/>
        <w:rPr>
          <w:rFonts w:asciiTheme="minorHAnsi" w:hAnsiTheme="minorHAnsi"/>
          <w:i/>
        </w:rPr>
      </w:pPr>
    </w:p>
    <w:p w:rsidR="007465EC" w:rsidRDefault="007465EC" w:rsidP="008859F9">
      <w:pPr>
        <w:jc w:val="both"/>
        <w:rPr>
          <w:rFonts w:asciiTheme="minorHAnsi" w:hAnsiTheme="minorHAnsi"/>
          <w:i/>
        </w:rPr>
      </w:pPr>
    </w:p>
    <w:p w:rsidR="007465EC" w:rsidRDefault="007465EC" w:rsidP="008859F9">
      <w:pPr>
        <w:jc w:val="both"/>
        <w:rPr>
          <w:rFonts w:asciiTheme="minorHAnsi" w:hAnsiTheme="minorHAnsi"/>
          <w:i/>
        </w:rPr>
      </w:pPr>
    </w:p>
    <w:p w:rsidR="007465EC" w:rsidRDefault="007465EC" w:rsidP="008859F9">
      <w:pPr>
        <w:jc w:val="both"/>
        <w:rPr>
          <w:rFonts w:asciiTheme="minorHAnsi" w:hAnsiTheme="minorHAnsi"/>
          <w:i/>
        </w:rPr>
      </w:pPr>
    </w:p>
    <w:p w:rsidR="007465EC" w:rsidRDefault="007465EC" w:rsidP="008859F9">
      <w:pPr>
        <w:jc w:val="both"/>
        <w:rPr>
          <w:rFonts w:asciiTheme="minorHAnsi" w:hAnsiTheme="minorHAnsi"/>
          <w:i/>
        </w:rPr>
      </w:pPr>
    </w:p>
    <w:p w:rsidR="007465EC" w:rsidRPr="00AA0F84" w:rsidRDefault="007465EC" w:rsidP="008859F9">
      <w:pPr>
        <w:jc w:val="both"/>
        <w:rPr>
          <w:rFonts w:asciiTheme="minorHAnsi" w:hAnsiTheme="minorHAnsi"/>
          <w:i/>
        </w:rPr>
      </w:pP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8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2D" w:rsidRDefault="00A9032D" w:rsidP="00507F56">
      <w:r>
        <w:separator/>
      </w:r>
    </w:p>
  </w:endnote>
  <w:endnote w:type="continuationSeparator" w:id="0">
    <w:p w:rsidR="00A9032D" w:rsidRDefault="00A9032D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2D" w:rsidRDefault="00A9032D" w:rsidP="00507F56">
      <w:r>
        <w:separator/>
      </w:r>
    </w:p>
  </w:footnote>
  <w:footnote w:type="continuationSeparator" w:id="0">
    <w:p w:rsidR="00A9032D" w:rsidRDefault="00A9032D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A92A6" wp14:editId="6808C0C5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7DC3"/>
    <w:rsid w:val="000220FC"/>
    <w:rsid w:val="00030827"/>
    <w:rsid w:val="000329C6"/>
    <w:rsid w:val="00061229"/>
    <w:rsid w:val="00061DA2"/>
    <w:rsid w:val="00066303"/>
    <w:rsid w:val="000711E7"/>
    <w:rsid w:val="00076204"/>
    <w:rsid w:val="00091517"/>
    <w:rsid w:val="000A3616"/>
    <w:rsid w:val="000B4588"/>
    <w:rsid w:val="000B7066"/>
    <w:rsid w:val="000C3C03"/>
    <w:rsid w:val="000C5216"/>
    <w:rsid w:val="000D0D4A"/>
    <w:rsid w:val="000D1E9A"/>
    <w:rsid w:val="000D5CDE"/>
    <w:rsid w:val="000E7ADE"/>
    <w:rsid w:val="000F08F5"/>
    <w:rsid w:val="0014436B"/>
    <w:rsid w:val="001541DF"/>
    <w:rsid w:val="00154605"/>
    <w:rsid w:val="0016140C"/>
    <w:rsid w:val="00192E64"/>
    <w:rsid w:val="001A4297"/>
    <w:rsid w:val="001A4D8E"/>
    <w:rsid w:val="001B414D"/>
    <w:rsid w:val="001C24A9"/>
    <w:rsid w:val="001C5A5F"/>
    <w:rsid w:val="001D70F5"/>
    <w:rsid w:val="001E6109"/>
    <w:rsid w:val="001E6483"/>
    <w:rsid w:val="001F0FD5"/>
    <w:rsid w:val="002024BE"/>
    <w:rsid w:val="00205EAD"/>
    <w:rsid w:val="00211357"/>
    <w:rsid w:val="00214ABC"/>
    <w:rsid w:val="002211A7"/>
    <w:rsid w:val="002224BE"/>
    <w:rsid w:val="00223C50"/>
    <w:rsid w:val="002341D0"/>
    <w:rsid w:val="002351B5"/>
    <w:rsid w:val="0024421B"/>
    <w:rsid w:val="0024710F"/>
    <w:rsid w:val="0025261E"/>
    <w:rsid w:val="002630DA"/>
    <w:rsid w:val="00271B28"/>
    <w:rsid w:val="00272A10"/>
    <w:rsid w:val="002A1D01"/>
    <w:rsid w:val="002A545D"/>
    <w:rsid w:val="002B1EF4"/>
    <w:rsid w:val="002C4A38"/>
    <w:rsid w:val="002C66A6"/>
    <w:rsid w:val="002D331C"/>
    <w:rsid w:val="002E03E9"/>
    <w:rsid w:val="002E159D"/>
    <w:rsid w:val="002E41EA"/>
    <w:rsid w:val="002E5824"/>
    <w:rsid w:val="002E76B7"/>
    <w:rsid w:val="00323DE4"/>
    <w:rsid w:val="00342005"/>
    <w:rsid w:val="00362B71"/>
    <w:rsid w:val="00367AE3"/>
    <w:rsid w:val="00375478"/>
    <w:rsid w:val="0037738C"/>
    <w:rsid w:val="003774E4"/>
    <w:rsid w:val="00387FC5"/>
    <w:rsid w:val="00395379"/>
    <w:rsid w:val="003A018D"/>
    <w:rsid w:val="003A1E91"/>
    <w:rsid w:val="003A204D"/>
    <w:rsid w:val="003A6AD7"/>
    <w:rsid w:val="003B25F1"/>
    <w:rsid w:val="003C724B"/>
    <w:rsid w:val="003D06C3"/>
    <w:rsid w:val="003D24DE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251F3"/>
    <w:rsid w:val="00426AC2"/>
    <w:rsid w:val="004365CC"/>
    <w:rsid w:val="004443FC"/>
    <w:rsid w:val="0044785B"/>
    <w:rsid w:val="00471085"/>
    <w:rsid w:val="004733A7"/>
    <w:rsid w:val="00473C74"/>
    <w:rsid w:val="004773C1"/>
    <w:rsid w:val="00483898"/>
    <w:rsid w:val="00486DF3"/>
    <w:rsid w:val="00491E07"/>
    <w:rsid w:val="004928D5"/>
    <w:rsid w:val="00493AC2"/>
    <w:rsid w:val="00497BCF"/>
    <w:rsid w:val="004A0C1F"/>
    <w:rsid w:val="004B2A23"/>
    <w:rsid w:val="004B5BF2"/>
    <w:rsid w:val="004C7F1A"/>
    <w:rsid w:val="004D233C"/>
    <w:rsid w:val="004D3831"/>
    <w:rsid w:val="004E118C"/>
    <w:rsid w:val="004F6C1A"/>
    <w:rsid w:val="004F6FE1"/>
    <w:rsid w:val="004F7EE4"/>
    <w:rsid w:val="00500271"/>
    <w:rsid w:val="00507F56"/>
    <w:rsid w:val="00520737"/>
    <w:rsid w:val="00527879"/>
    <w:rsid w:val="00543744"/>
    <w:rsid w:val="00552D1B"/>
    <w:rsid w:val="005540E7"/>
    <w:rsid w:val="00583776"/>
    <w:rsid w:val="00586F0C"/>
    <w:rsid w:val="00591D7A"/>
    <w:rsid w:val="00592F3F"/>
    <w:rsid w:val="005A089A"/>
    <w:rsid w:val="005A197F"/>
    <w:rsid w:val="005B5CF2"/>
    <w:rsid w:val="005C25B1"/>
    <w:rsid w:val="005E3EFC"/>
    <w:rsid w:val="00604D5A"/>
    <w:rsid w:val="00612204"/>
    <w:rsid w:val="00614688"/>
    <w:rsid w:val="00620DEE"/>
    <w:rsid w:val="00623AD5"/>
    <w:rsid w:val="006318FE"/>
    <w:rsid w:val="00656363"/>
    <w:rsid w:val="00660430"/>
    <w:rsid w:val="0067612F"/>
    <w:rsid w:val="00683C63"/>
    <w:rsid w:val="0068451B"/>
    <w:rsid w:val="00684EE4"/>
    <w:rsid w:val="0068654D"/>
    <w:rsid w:val="006A12C4"/>
    <w:rsid w:val="006A4554"/>
    <w:rsid w:val="006B4D01"/>
    <w:rsid w:val="006C0187"/>
    <w:rsid w:val="006C231B"/>
    <w:rsid w:val="006C36FD"/>
    <w:rsid w:val="006C4FE4"/>
    <w:rsid w:val="006D19CF"/>
    <w:rsid w:val="006D4885"/>
    <w:rsid w:val="006D4912"/>
    <w:rsid w:val="006E151B"/>
    <w:rsid w:val="006F6425"/>
    <w:rsid w:val="006F6ED1"/>
    <w:rsid w:val="00702025"/>
    <w:rsid w:val="007153EB"/>
    <w:rsid w:val="007155C0"/>
    <w:rsid w:val="007160A1"/>
    <w:rsid w:val="00733CE1"/>
    <w:rsid w:val="00737DA2"/>
    <w:rsid w:val="007407F8"/>
    <w:rsid w:val="00743C78"/>
    <w:rsid w:val="0074463D"/>
    <w:rsid w:val="007465EC"/>
    <w:rsid w:val="007552BB"/>
    <w:rsid w:val="00763048"/>
    <w:rsid w:val="0078031F"/>
    <w:rsid w:val="00782FBA"/>
    <w:rsid w:val="0078372B"/>
    <w:rsid w:val="00793D56"/>
    <w:rsid w:val="00795E6F"/>
    <w:rsid w:val="007A1001"/>
    <w:rsid w:val="007A135D"/>
    <w:rsid w:val="007A3002"/>
    <w:rsid w:val="007C41D4"/>
    <w:rsid w:val="007D097B"/>
    <w:rsid w:val="007D71AA"/>
    <w:rsid w:val="007F072D"/>
    <w:rsid w:val="007F077A"/>
    <w:rsid w:val="007F4F76"/>
    <w:rsid w:val="00805C3F"/>
    <w:rsid w:val="008079F0"/>
    <w:rsid w:val="00811AB4"/>
    <w:rsid w:val="00815AB7"/>
    <w:rsid w:val="008162D5"/>
    <w:rsid w:val="00820AB0"/>
    <w:rsid w:val="008221F0"/>
    <w:rsid w:val="0082251E"/>
    <w:rsid w:val="0082618C"/>
    <w:rsid w:val="00833116"/>
    <w:rsid w:val="008338D7"/>
    <w:rsid w:val="00841C26"/>
    <w:rsid w:val="00851AAC"/>
    <w:rsid w:val="008546B2"/>
    <w:rsid w:val="00855DA3"/>
    <w:rsid w:val="00882A69"/>
    <w:rsid w:val="008859F9"/>
    <w:rsid w:val="008950FE"/>
    <w:rsid w:val="00895660"/>
    <w:rsid w:val="008A4B4B"/>
    <w:rsid w:val="008A7439"/>
    <w:rsid w:val="008B260B"/>
    <w:rsid w:val="008B2923"/>
    <w:rsid w:val="008B6208"/>
    <w:rsid w:val="008C0B51"/>
    <w:rsid w:val="008C7D68"/>
    <w:rsid w:val="008D1AA8"/>
    <w:rsid w:val="008D319F"/>
    <w:rsid w:val="008F6550"/>
    <w:rsid w:val="008F655B"/>
    <w:rsid w:val="009067EB"/>
    <w:rsid w:val="00912B2F"/>
    <w:rsid w:val="00920D27"/>
    <w:rsid w:val="009264B5"/>
    <w:rsid w:val="00935CC4"/>
    <w:rsid w:val="00941716"/>
    <w:rsid w:val="00943245"/>
    <w:rsid w:val="00952193"/>
    <w:rsid w:val="00956182"/>
    <w:rsid w:val="00971FC6"/>
    <w:rsid w:val="00991ABE"/>
    <w:rsid w:val="00996F85"/>
    <w:rsid w:val="009A2699"/>
    <w:rsid w:val="009A3E33"/>
    <w:rsid w:val="009C17C5"/>
    <w:rsid w:val="009C1CF5"/>
    <w:rsid w:val="009C455B"/>
    <w:rsid w:val="009C569F"/>
    <w:rsid w:val="009D1778"/>
    <w:rsid w:val="009D1F1D"/>
    <w:rsid w:val="009F10D8"/>
    <w:rsid w:val="009F37CE"/>
    <w:rsid w:val="00A02B35"/>
    <w:rsid w:val="00A14B30"/>
    <w:rsid w:val="00A466F5"/>
    <w:rsid w:val="00A66D34"/>
    <w:rsid w:val="00A766DF"/>
    <w:rsid w:val="00A80274"/>
    <w:rsid w:val="00A9032D"/>
    <w:rsid w:val="00A9058D"/>
    <w:rsid w:val="00AA0F84"/>
    <w:rsid w:val="00AA20A6"/>
    <w:rsid w:val="00AB443E"/>
    <w:rsid w:val="00AD0503"/>
    <w:rsid w:val="00B2469E"/>
    <w:rsid w:val="00B325C1"/>
    <w:rsid w:val="00B33E83"/>
    <w:rsid w:val="00B42DD0"/>
    <w:rsid w:val="00B72515"/>
    <w:rsid w:val="00B7714D"/>
    <w:rsid w:val="00BB6A0A"/>
    <w:rsid w:val="00BB7D15"/>
    <w:rsid w:val="00BC2920"/>
    <w:rsid w:val="00BC3133"/>
    <w:rsid w:val="00BD0DBE"/>
    <w:rsid w:val="00C00A5E"/>
    <w:rsid w:val="00C0468F"/>
    <w:rsid w:val="00C11630"/>
    <w:rsid w:val="00C11E29"/>
    <w:rsid w:val="00C32FCB"/>
    <w:rsid w:val="00C339E6"/>
    <w:rsid w:val="00C47D83"/>
    <w:rsid w:val="00C51C81"/>
    <w:rsid w:val="00C60C0B"/>
    <w:rsid w:val="00C908F8"/>
    <w:rsid w:val="00C9453F"/>
    <w:rsid w:val="00CA60AD"/>
    <w:rsid w:val="00CA7340"/>
    <w:rsid w:val="00CB6093"/>
    <w:rsid w:val="00CD5F37"/>
    <w:rsid w:val="00CE23DE"/>
    <w:rsid w:val="00CE5276"/>
    <w:rsid w:val="00CF130F"/>
    <w:rsid w:val="00CF3C5E"/>
    <w:rsid w:val="00D01427"/>
    <w:rsid w:val="00D01616"/>
    <w:rsid w:val="00D0167E"/>
    <w:rsid w:val="00D148B7"/>
    <w:rsid w:val="00D16294"/>
    <w:rsid w:val="00D22125"/>
    <w:rsid w:val="00D279BC"/>
    <w:rsid w:val="00D55BF5"/>
    <w:rsid w:val="00D60801"/>
    <w:rsid w:val="00D67D8A"/>
    <w:rsid w:val="00D724A8"/>
    <w:rsid w:val="00D8527F"/>
    <w:rsid w:val="00D90B50"/>
    <w:rsid w:val="00D96E1F"/>
    <w:rsid w:val="00D97E6F"/>
    <w:rsid w:val="00DA10C1"/>
    <w:rsid w:val="00DB396A"/>
    <w:rsid w:val="00DC22B0"/>
    <w:rsid w:val="00DD300B"/>
    <w:rsid w:val="00DE0DE4"/>
    <w:rsid w:val="00DF31A3"/>
    <w:rsid w:val="00E04E93"/>
    <w:rsid w:val="00E07FD7"/>
    <w:rsid w:val="00E20199"/>
    <w:rsid w:val="00E207C1"/>
    <w:rsid w:val="00E23360"/>
    <w:rsid w:val="00E45FC1"/>
    <w:rsid w:val="00E478B4"/>
    <w:rsid w:val="00E66A56"/>
    <w:rsid w:val="00EA21AB"/>
    <w:rsid w:val="00EC5400"/>
    <w:rsid w:val="00EE3CE8"/>
    <w:rsid w:val="00EF5254"/>
    <w:rsid w:val="00F01CD7"/>
    <w:rsid w:val="00F0215B"/>
    <w:rsid w:val="00F1224C"/>
    <w:rsid w:val="00F25014"/>
    <w:rsid w:val="00F50522"/>
    <w:rsid w:val="00F62684"/>
    <w:rsid w:val="00F828CB"/>
    <w:rsid w:val="00F87C58"/>
    <w:rsid w:val="00F87EC6"/>
    <w:rsid w:val="00FA0B25"/>
    <w:rsid w:val="00FA7BA1"/>
    <w:rsid w:val="00FD44B0"/>
    <w:rsid w:val="00FE0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paragraph" w:customStyle="1" w:styleId="Odstavecseseznamem2">
    <w:name w:val="Odstavec se seznamem2"/>
    <w:basedOn w:val="Normln"/>
    <w:rsid w:val="002024BE"/>
    <w:pPr>
      <w:suppressAutoHyphens/>
      <w:spacing w:after="160" w:line="256" w:lineRule="auto"/>
      <w:ind w:left="720"/>
    </w:pPr>
    <w:rPr>
      <w:rFonts w:ascii="Calibri" w:eastAsia="SimSun" w:hAnsi="Calibri"/>
      <w:b/>
      <w:sz w:val="22"/>
      <w:szCs w:val="22"/>
      <w:lang w:eastAsia="ar-SA"/>
    </w:rPr>
  </w:style>
  <w:style w:type="character" w:customStyle="1" w:styleId="Styl7Char">
    <w:name w:val="Styl7 Char"/>
    <w:rsid w:val="00444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39AF-192F-4D56-8475-9EAD2FBE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2</cp:revision>
  <cp:lastPrinted>2018-02-07T12:23:00Z</cp:lastPrinted>
  <dcterms:created xsi:type="dcterms:W3CDTF">2018-02-12T13:32:00Z</dcterms:created>
  <dcterms:modified xsi:type="dcterms:W3CDTF">2018-02-12T13:32:00Z</dcterms:modified>
</cp:coreProperties>
</file>